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《江东新区防汛防旱防风防冻应急预案》</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政策解读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一、</w:t>
      </w:r>
      <w:r>
        <w:rPr>
          <w:rFonts w:hint="eastAsia" w:ascii="黑体" w:hAnsi="黑体" w:eastAsia="黑体" w:cs="黑体"/>
          <w:color w:val="000000" w:themeColor="text1"/>
          <w:sz w:val="32"/>
          <w:szCs w:val="32"/>
          <w14:textFill>
            <w14:solidFill>
              <w14:schemeClr w14:val="tx1"/>
            </w14:solidFill>
          </w14:textFill>
        </w:rPr>
        <w:t>《江东新区防汛防旱防风防冻应急预案》</w:t>
      </w:r>
      <w:r>
        <w:rPr>
          <w:rFonts w:hint="eastAsia" w:ascii="黑体" w:hAnsi="黑体" w:eastAsia="黑体" w:cs="黑体"/>
          <w:color w:val="000000" w:themeColor="text1"/>
          <w:sz w:val="32"/>
          <w:szCs w:val="32"/>
          <w:lang w:val="en-US" w:eastAsia="zh-CN"/>
          <w14:textFill>
            <w14:solidFill>
              <w14:schemeClr w14:val="tx1"/>
            </w14:solidFill>
          </w14:textFill>
        </w:rPr>
        <w:t>出台背景</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坚持以人民为中心的发展思想，牢固树立安全发展理念，通过完善水旱风冻灾害应对体制机制，规范高效处置突发险情、灾情，科学有序防御水旱风冻灾害，提高防灾减灾救灾能力，实现防御工作规范化、制度化、法制化，全力确保人民群众生命财产安全，最大程度降低灾害风险，保障社会全面、协调和可持续发展</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结合新区实际，</w:t>
      </w:r>
      <w:r>
        <w:rPr>
          <w:rFonts w:hint="eastAsia" w:ascii="仿宋_GB2312" w:hAnsi="仿宋_GB2312" w:eastAsia="仿宋_GB2312" w:cs="仿宋_GB2312"/>
          <w:color w:val="000000" w:themeColor="text1"/>
          <w:sz w:val="32"/>
          <w:szCs w:val="32"/>
          <w14:textFill>
            <w14:solidFill>
              <w14:schemeClr w14:val="tx1"/>
            </w14:solidFill>
          </w14:textFill>
        </w:rPr>
        <w:t>特</w:t>
      </w:r>
      <w:r>
        <w:rPr>
          <w:rFonts w:hint="eastAsia" w:ascii="仿宋_GB2312" w:hAnsi="仿宋_GB2312" w:eastAsia="仿宋_GB2312" w:cs="仿宋_GB2312"/>
          <w:color w:val="000000" w:themeColor="text1"/>
          <w:sz w:val="32"/>
          <w:szCs w:val="32"/>
          <w:lang w:eastAsia="zh-CN"/>
          <w14:textFill>
            <w14:solidFill>
              <w14:schemeClr w14:val="tx1"/>
            </w14:solidFill>
          </w14:textFill>
        </w:rPr>
        <w:t>制订</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江东新区森林火灾应急预案》（以下简称《</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预案</w:t>
      </w:r>
      <w:r>
        <w:rPr>
          <w:rFonts w:hint="eastAsia" w:ascii="仿宋_GB2312" w:hAnsi="仿宋_GB2312" w:eastAsia="仿宋_GB2312" w:cs="仿宋_GB2312"/>
          <w:color w:val="000000" w:themeColor="text1"/>
          <w:sz w:val="32"/>
          <w:szCs w:val="32"/>
          <w14:textFill>
            <w14:solidFill>
              <w14:schemeClr w14:val="tx1"/>
            </w14:solidFill>
          </w14:textFill>
        </w:rPr>
        <w:t>》）。</w:t>
      </w:r>
      <w:bookmarkStart w:id="0" w:name="_GoBack"/>
      <w:bookmarkEnd w:id="0"/>
    </w:p>
    <w:p>
      <w:pPr>
        <w:keepNext w:val="0"/>
        <w:keepLines w:val="0"/>
        <w:pageBreakBefore w:val="0"/>
        <w:widowControl w:val="0"/>
        <w:tabs>
          <w:tab w:val="left" w:pos="1026"/>
        </w:tabs>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i w:val="0"/>
          <w:caps w:val="0"/>
          <w:color w:val="000000" w:themeColor="text1"/>
          <w:spacing w:val="0"/>
          <w:sz w:val="32"/>
          <w:szCs w:val="32"/>
          <w:shd w:val="clear" w:fill="FFFFFF"/>
          <w:lang w:val="en-US" w:eastAsia="zh-CN"/>
          <w14:textFill>
            <w14:solidFill>
              <w14:schemeClr w14:val="tx1"/>
            </w14:solidFill>
          </w14:textFill>
        </w:rPr>
        <w:t>二、制定</w:t>
      </w:r>
      <w:r>
        <w:rPr>
          <w:rFonts w:hint="eastAsia" w:ascii="黑体" w:hAnsi="黑体" w:eastAsia="黑体" w:cs="黑体"/>
          <w:color w:val="000000" w:themeColor="text1"/>
          <w:sz w:val="32"/>
          <w:szCs w:val="32"/>
          <w14:textFill>
            <w14:solidFill>
              <w14:schemeClr w14:val="tx1"/>
            </w14:solidFill>
          </w14:textFill>
        </w:rPr>
        <w:t>《江东新区防汛防旱防风防冻应急预案》</w:t>
      </w:r>
      <w:r>
        <w:rPr>
          <w:rFonts w:hint="eastAsia" w:ascii="黑体" w:hAnsi="黑体" w:eastAsia="黑体" w:cs="黑体"/>
          <w:color w:val="000000" w:themeColor="text1"/>
          <w:sz w:val="32"/>
          <w:szCs w:val="32"/>
          <w:lang w:val="en-US" w:eastAsia="zh-CN"/>
          <w14:textFill>
            <w14:solidFill>
              <w14:schemeClr w14:val="tx1"/>
            </w14:solidFill>
          </w14:textFill>
        </w:rPr>
        <w:t>依据</w:t>
      </w:r>
    </w:p>
    <w:p>
      <w:pPr>
        <w:keepNext w:val="0"/>
        <w:keepLines w:val="0"/>
        <w:pageBreakBefore w:val="0"/>
        <w:widowControl w:val="0"/>
        <w:tabs>
          <w:tab w:val="left" w:pos="1026"/>
        </w:tabs>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依据《中华人民共和国突发事件应对法》《中华人民共和国水</w:t>
      </w:r>
      <w:r>
        <w:rPr>
          <w:rFonts w:hint="eastAsia" w:ascii="仿宋_GB2312" w:hAnsi="仿宋_GB2312" w:eastAsia="仿宋_GB2312" w:cs="仿宋_GB2312"/>
          <w:color w:val="000000" w:themeColor="text1"/>
          <w:sz w:val="32"/>
          <w:szCs w:val="32"/>
          <w14:textFill>
            <w14:solidFill>
              <w14:schemeClr w14:val="tx1"/>
            </w14:solidFill>
          </w14:textFill>
        </w:rPr>
        <w:t>法》《中华人民共和国防洪法》《中华人民共和国气象法》《中华人民共和国防汛条例》《中华人民共和国抗旱条例》《中华人民共和国水文条例》《气象灾害防御条例》《自然灾害救助条例》、《国家防汛抗旱应急预案》《广东省突发事件应对条例》《广东省防汛防旱防风总指挥部广东省监察厅印发广东省防汛防旱防风工作责任追究办法</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试行</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的通知》</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粤防〔2013〕11号</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《城市防洪应急预案编制导则》</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SL 754-2017</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《防台风应急预案编制导则》</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SL 611-2012</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《抗旱预案编制导则》</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（SL 590-2013）</w:t>
      </w:r>
      <w:r>
        <w:rPr>
          <w:rFonts w:hint="eastAsia" w:ascii="仿宋_GB2312" w:hAnsi="仿宋_GB2312" w:eastAsia="仿宋_GB2312" w:cs="仿宋_GB2312"/>
          <w:color w:val="000000" w:themeColor="text1"/>
          <w:sz w:val="32"/>
          <w:szCs w:val="32"/>
          <w14:textFill>
            <w14:solidFill>
              <w14:schemeClr w14:val="tx1"/>
            </w14:solidFill>
          </w14:textFill>
        </w:rPr>
        <w:t>《关于印发城市防洪应急预案管理办法的通知》</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国汛〔2015〕2号</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《广东省突发事件总体应急预案》</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粤府函〔2021〕109号）《广东省防汛防旱防风防冻应急预案》</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粤办函〔2021〕54号</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《河源市突发事件总体应急预案》</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河府</w:t>
      </w:r>
      <w:r>
        <w:rPr>
          <w:rFonts w:hint="eastAsia" w:ascii="仿宋_GB2312" w:hAnsi="仿宋_GB2312" w:eastAsia="仿宋_GB2312" w:cs="仿宋_GB2312"/>
          <w:color w:val="000000" w:themeColor="text1"/>
          <w:sz w:val="32"/>
          <w:szCs w:val="32"/>
          <w14:textFill>
            <w14:solidFill>
              <w14:schemeClr w14:val="tx1"/>
            </w14:solidFill>
          </w14:textFill>
        </w:rPr>
        <w:t>函〔2021〕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224</w:t>
      </w:r>
      <w:r>
        <w:rPr>
          <w:rFonts w:hint="eastAsia" w:ascii="仿宋_GB2312" w:hAnsi="仿宋_GB2312" w:eastAsia="仿宋_GB2312" w:cs="仿宋_GB2312"/>
          <w:color w:val="000000" w:themeColor="text1"/>
          <w:sz w:val="32"/>
          <w:szCs w:val="32"/>
          <w14:textFill>
            <w14:solidFill>
              <w14:schemeClr w14:val="tx1"/>
            </w14:solidFill>
          </w14:textFill>
        </w:rPr>
        <w:t>号</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《河源市防汛防旱防风防冻应急预案》</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河府办〔2020〕18号</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《河源江东新区突发事件总体应急预案》</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河江东办〔2021〕9号</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等法律、法规及有关规定</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keepNext w:val="0"/>
        <w:keepLines w:val="0"/>
        <w:pageBreakBefore w:val="0"/>
        <w:widowControl w:val="0"/>
        <w:tabs>
          <w:tab w:val="left" w:pos="1026"/>
        </w:tabs>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color w:val="000000" w:themeColor="text1"/>
          <w:sz w:val="32"/>
          <w:szCs w:val="32"/>
          <w:highlight w:val="none"/>
          <w:lang w:val="en-US" w:eastAsia="zh-CN"/>
          <w14:textFill>
            <w14:solidFill>
              <w14:schemeClr w14:val="tx1"/>
            </w14:solidFill>
          </w14:textFill>
        </w:rPr>
      </w:pPr>
      <w:r>
        <w:rPr>
          <w:rFonts w:hint="eastAsia" w:ascii="黑体" w:hAnsi="黑体" w:eastAsia="黑体" w:cs="黑体"/>
          <w:color w:val="000000" w:themeColor="text1"/>
          <w:sz w:val="32"/>
          <w:szCs w:val="32"/>
          <w:highlight w:val="none"/>
          <w:lang w:val="en-US" w:eastAsia="zh-CN"/>
          <w14:textFill>
            <w14:solidFill>
              <w14:schemeClr w14:val="tx1"/>
            </w14:solidFill>
          </w14:textFill>
        </w:rPr>
        <w:t>三、主要内容</w:t>
      </w:r>
    </w:p>
    <w:p>
      <w:pPr>
        <w:keepNext w:val="0"/>
        <w:keepLines w:val="0"/>
        <w:pageBreakBefore w:val="0"/>
        <w:widowControl w:val="0"/>
        <w:tabs>
          <w:tab w:val="left" w:pos="1026"/>
        </w:tabs>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本《预案》主要包括九大内容。</w:t>
      </w:r>
    </w:p>
    <w:p>
      <w:pPr>
        <w:keepNext w:val="0"/>
        <w:keepLines w:val="0"/>
        <w:pageBreakBefore w:val="0"/>
        <w:widowControl w:val="0"/>
        <w:tabs>
          <w:tab w:val="left" w:pos="1026"/>
        </w:tabs>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（一）总则。</w:t>
      </w:r>
      <w:r>
        <w:rPr>
          <w:rFonts w:hint="eastAsia" w:ascii="仿宋_GB2312" w:hAnsi="仿宋_GB2312" w:eastAsia="仿宋_GB2312" w:cs="仿宋_GB2312"/>
          <w:color w:val="000000" w:themeColor="text1"/>
          <w:sz w:val="32"/>
          <w:szCs w:val="32"/>
          <w14:textFill>
            <w14:solidFill>
              <w14:schemeClr w14:val="tx1"/>
            </w14:solidFill>
          </w14:textFill>
        </w:rPr>
        <w:t>主要明确本预案编制的目的、编制的法规依据、本预案适用范围、工作的原则。</w:t>
      </w:r>
    </w:p>
    <w:p>
      <w:pPr>
        <w:keepNext w:val="0"/>
        <w:keepLines w:val="0"/>
        <w:pageBreakBefore w:val="0"/>
        <w:widowControl w:val="0"/>
        <w:tabs>
          <w:tab w:val="left" w:pos="1026"/>
        </w:tabs>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（二）基本情况。</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解析了江东新区自然特征和风险分析。</w:t>
      </w:r>
    </w:p>
    <w:p>
      <w:pPr>
        <w:keepNext w:val="0"/>
        <w:keepLines w:val="0"/>
        <w:pageBreakBefore w:val="0"/>
        <w:widowControl w:val="0"/>
        <w:tabs>
          <w:tab w:val="left" w:pos="1026"/>
        </w:tabs>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（三）组织体系。</w:t>
      </w:r>
      <w:r>
        <w:rPr>
          <w:rFonts w:hint="eastAsia" w:ascii="仿宋_GB2312" w:hAnsi="仿宋_GB2312" w:eastAsia="仿宋_GB2312" w:cs="仿宋_GB2312"/>
          <w:color w:val="000000" w:themeColor="text1"/>
          <w:sz w:val="32"/>
          <w:szCs w:val="32"/>
          <w14:textFill>
            <w14:solidFill>
              <w14:schemeClr w14:val="tx1"/>
            </w14:solidFill>
          </w14:textFill>
        </w:rPr>
        <w:t>阐述了</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新区</w:t>
      </w:r>
      <w:r>
        <w:rPr>
          <w:rFonts w:hint="eastAsia" w:ascii="仿宋_GB2312" w:hAnsi="仿宋_GB2312" w:eastAsia="仿宋_GB2312" w:cs="仿宋_GB2312"/>
          <w:color w:val="000000" w:themeColor="text1"/>
          <w:sz w:val="32"/>
          <w:szCs w:val="32"/>
          <w14:textFill>
            <w14:solidFill>
              <w14:schemeClr w14:val="tx1"/>
            </w14:solidFill>
          </w14:textFill>
        </w:rPr>
        <w:t>三防指挥部、三防指挥部组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成</w:t>
      </w:r>
      <w:r>
        <w:rPr>
          <w:rFonts w:hint="eastAsia" w:ascii="仿宋_GB2312" w:hAnsi="仿宋_GB2312" w:eastAsia="仿宋_GB2312" w:cs="仿宋_GB2312"/>
          <w:color w:val="000000" w:themeColor="text1"/>
          <w:sz w:val="32"/>
          <w:szCs w:val="32"/>
          <w14:textFill>
            <w14:solidFill>
              <w14:schemeClr w14:val="tx1"/>
            </w14:solidFill>
          </w14:textFill>
        </w:rPr>
        <w:t>、三防指挥部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成员单位职责、</w:t>
      </w:r>
      <w:r>
        <w:rPr>
          <w:rFonts w:hint="eastAsia" w:ascii="仿宋_GB2312" w:hAnsi="仿宋_GB2312" w:eastAsia="仿宋_GB2312" w:cs="仿宋_GB2312"/>
          <w:color w:val="000000" w:themeColor="text1"/>
          <w:sz w:val="32"/>
          <w:szCs w:val="32"/>
          <w14:textFill>
            <w14:solidFill>
              <w14:schemeClr w14:val="tx1"/>
            </w14:solidFill>
          </w14:textFill>
        </w:rPr>
        <w:t>三防指挥部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工作小组、三防指挥部办公室、地方三防指挥机构</w:t>
      </w:r>
      <w:r>
        <w:rPr>
          <w:rFonts w:hint="eastAsia" w:ascii="仿宋_GB2312" w:hAnsi="仿宋_GB2312" w:eastAsia="仿宋_GB2312" w:cs="仿宋_GB2312"/>
          <w:color w:val="000000" w:themeColor="text1"/>
          <w:sz w:val="32"/>
          <w:szCs w:val="32"/>
          <w14:textFill>
            <w14:solidFill>
              <w14:schemeClr w14:val="tx1"/>
            </w14:solidFill>
          </w14:textFill>
        </w:rPr>
        <w:t>等职责。</w:t>
      </w:r>
    </w:p>
    <w:p>
      <w:pPr>
        <w:keepNext w:val="0"/>
        <w:keepLines w:val="0"/>
        <w:pageBreakBefore w:val="0"/>
        <w:widowControl w:val="0"/>
        <w:tabs>
          <w:tab w:val="left" w:pos="1026"/>
        </w:tabs>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（四）灾前预防</w:t>
      </w: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主要阐述了风险分析和预防措施</w:t>
      </w:r>
    </w:p>
    <w:p>
      <w:pPr>
        <w:keepNext w:val="0"/>
        <w:keepLines w:val="0"/>
        <w:pageBreakBefore w:val="0"/>
        <w:widowControl w:val="0"/>
        <w:tabs>
          <w:tab w:val="left" w:pos="1026"/>
        </w:tabs>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（五）监测和预警</w:t>
      </w: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明确预警预防信息发布工作要求，在发生强降雨、洪水、台风预警信号的公众防御指引，制定预警信息和防御指引发布要求，同时健全信息报送机制，明确主要成员单位职责和防御工作要求。以及向社会公众发布预警信息机制。</w:t>
      </w:r>
    </w:p>
    <w:p>
      <w:pPr>
        <w:keepNext w:val="0"/>
        <w:keepLines w:val="0"/>
        <w:pageBreakBefore w:val="0"/>
        <w:widowControl w:val="0"/>
        <w:tabs>
          <w:tab w:val="left" w:pos="1026"/>
        </w:tabs>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（六）应急响应</w:t>
      </w: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明确水旱风冻灾害应急响应类型及启动条件，为科学防御及应急处置提供依据。</w:t>
      </w:r>
    </w:p>
    <w:p>
      <w:pPr>
        <w:keepNext w:val="0"/>
        <w:keepLines w:val="0"/>
        <w:pageBreakBefore w:val="0"/>
        <w:widowControl w:val="0"/>
        <w:tabs>
          <w:tab w:val="left" w:pos="1026"/>
        </w:tabs>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七</w:t>
      </w: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应急保障。</w:t>
      </w:r>
      <w:r>
        <w:rPr>
          <w:rFonts w:hint="eastAsia" w:ascii="仿宋_GB2312" w:hAnsi="仿宋_GB2312" w:eastAsia="仿宋_GB2312" w:cs="仿宋_GB2312"/>
          <w:color w:val="000000" w:themeColor="text1"/>
          <w:sz w:val="32"/>
          <w:szCs w:val="32"/>
          <w14:textFill>
            <w14:solidFill>
              <w14:schemeClr w14:val="tx1"/>
            </w14:solidFill>
          </w14:textFill>
        </w:rPr>
        <w:t>明确队伍</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保障</w:t>
      </w:r>
      <w:r>
        <w:rPr>
          <w:rFonts w:hint="eastAsia" w:ascii="仿宋_GB2312" w:hAnsi="仿宋_GB2312" w:eastAsia="仿宋_GB2312" w:cs="仿宋_GB2312"/>
          <w:color w:val="000000" w:themeColor="text1"/>
          <w:sz w:val="32"/>
          <w:szCs w:val="32"/>
          <w14:textFill>
            <w14:solidFill>
              <w14:schemeClr w14:val="tx1"/>
            </w14:solidFill>
          </w14:textFill>
        </w:rPr>
        <w:t>、资金</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保障</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综合保障</w:t>
      </w:r>
      <w:r>
        <w:rPr>
          <w:rFonts w:hint="eastAsia" w:ascii="仿宋_GB2312" w:hAnsi="仿宋_GB2312" w:eastAsia="仿宋_GB2312" w:cs="仿宋_GB2312"/>
          <w:color w:val="000000" w:themeColor="text1"/>
          <w:sz w:val="32"/>
          <w:szCs w:val="32"/>
          <w14:textFill>
            <w14:solidFill>
              <w14:schemeClr w14:val="tx1"/>
            </w14:solidFill>
          </w14:textFill>
        </w:rPr>
        <w:t>等保障机制</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各有关部门各负其责，相互配合，保障各项抢险救灾工作的顺利进行。</w:t>
      </w:r>
    </w:p>
    <w:p>
      <w:pPr>
        <w:keepNext w:val="0"/>
        <w:keepLines w:val="0"/>
        <w:pageBreakBefore w:val="0"/>
        <w:widowControl w:val="0"/>
        <w:tabs>
          <w:tab w:val="left" w:pos="1026"/>
        </w:tabs>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八</w:t>
      </w: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善后处置。</w:t>
      </w:r>
      <w:r>
        <w:rPr>
          <w:rFonts w:hint="eastAsia" w:ascii="仿宋_GB2312" w:hAnsi="仿宋_GB2312" w:eastAsia="仿宋_GB2312" w:cs="仿宋_GB2312"/>
          <w:color w:val="000000" w:themeColor="text1"/>
          <w:sz w:val="32"/>
          <w:szCs w:val="32"/>
          <w14:textFill>
            <w14:solidFill>
              <w14:schemeClr w14:val="tx1"/>
            </w14:solidFill>
          </w14:textFill>
        </w:rPr>
        <w:t>明确发生水旱风冻灾害后的救灾救济、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恢复重建、社会捐赠和救助管理、保险、</w:t>
      </w:r>
      <w:r>
        <w:rPr>
          <w:rFonts w:hint="eastAsia" w:ascii="仿宋_GB2312" w:hAnsi="仿宋_GB2312" w:eastAsia="仿宋_GB2312" w:cs="仿宋_GB2312"/>
          <w:color w:val="000000" w:themeColor="text1"/>
          <w:sz w:val="32"/>
          <w:szCs w:val="32"/>
          <w14:textFill>
            <w14:solidFill>
              <w14:schemeClr w14:val="tx1"/>
            </w14:solidFill>
          </w14:textFill>
        </w:rPr>
        <w:t>调查分析、后果评估及总结等后期处置工作。</w:t>
      </w:r>
    </w:p>
    <w:p>
      <w:pPr>
        <w:keepNext w:val="0"/>
        <w:keepLines w:val="0"/>
        <w:pageBreakBefore w:val="0"/>
        <w:widowControl w:val="0"/>
        <w:tabs>
          <w:tab w:val="left" w:pos="1026"/>
        </w:tabs>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九</w:t>
      </w:r>
      <w:r>
        <w:rPr>
          <w:rFonts w:hint="eastAsia" w:ascii="楷体_GB2312" w:hAnsi="楷体_GB2312" w:eastAsia="楷体_GB2312" w:cs="楷体_GB2312"/>
          <w:color w:val="000000" w:themeColor="text1"/>
          <w:sz w:val="32"/>
          <w:szCs w:val="32"/>
          <w:lang w:eastAsia="zh-CN"/>
          <w14:textFill>
            <w14:solidFill>
              <w14:schemeClr w14:val="tx1"/>
            </w14:solidFill>
          </w14:textFill>
        </w:rPr>
        <w:t>）</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附则。</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明确了预案演练、宣教培训、预案管理等3方面内容</w:t>
      </w:r>
    </w:p>
    <w:p>
      <w:pPr>
        <w:keepNext w:val="0"/>
        <w:keepLines w:val="0"/>
        <w:pageBreakBefore w:val="0"/>
        <w:widowControl w:val="0"/>
        <w:tabs>
          <w:tab w:val="left" w:pos="1026"/>
        </w:tabs>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p>
    <w:sectPr>
      <w:footerReference r:id="rId3" w:type="default"/>
      <w:pgSz w:w="11906" w:h="16838"/>
      <w:pgMar w:top="1531" w:right="1531" w:bottom="209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创艺简标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PAGE   \* MERGEFORMAT</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zh-CN"/>
      </w:rPr>
      <w:t>56</w:t>
    </w:r>
    <w:r>
      <w:rPr>
        <w:rFonts w:hint="eastAsia" w:ascii="仿宋_GB2312" w:hAnsi="仿宋_GB2312" w:eastAsia="仿宋_GB2312" w:cs="仿宋_GB2312"/>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BE7D91"/>
    <w:rsid w:val="06675B34"/>
    <w:rsid w:val="098C46CD"/>
    <w:rsid w:val="1F735F2B"/>
    <w:rsid w:val="2B4A7F73"/>
    <w:rsid w:val="3091228D"/>
    <w:rsid w:val="45297204"/>
    <w:rsid w:val="4A005269"/>
    <w:rsid w:val="4E9E32B0"/>
    <w:rsid w:val="587B61B0"/>
    <w:rsid w:val="5FB6559E"/>
    <w:rsid w:val="6924148F"/>
    <w:rsid w:val="767A2728"/>
    <w:rsid w:val="7D2634CB"/>
    <w:rsid w:val="7DBE7D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line="576" w:lineRule="auto"/>
      <w:outlineLvl w:val="0"/>
    </w:pPr>
    <w:rPr>
      <w:rFonts w:eastAsia="黑体"/>
      <w:kern w:val="44"/>
    </w:rPr>
  </w:style>
  <w:style w:type="paragraph" w:styleId="4">
    <w:name w:val="heading 3"/>
    <w:basedOn w:val="1"/>
    <w:next w:val="1"/>
    <w:qFormat/>
    <w:uiPriority w:val="0"/>
    <w:pPr>
      <w:keepNext/>
      <w:keepLines/>
      <w:spacing w:after="20" w:line="413" w:lineRule="auto"/>
      <w:outlineLvl w:val="2"/>
    </w:pPr>
    <w:rPr>
      <w:b/>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szCs w:val="21"/>
    </w:rPr>
  </w:style>
  <w:style w:type="paragraph" w:styleId="5">
    <w:name w:val="Body Text"/>
    <w:basedOn w:val="1"/>
    <w:next w:val="1"/>
    <w:qFormat/>
    <w:uiPriority w:val="0"/>
    <w:rPr>
      <w:rFonts w:ascii="宋体" w:hAnsi="宋体" w:eastAsia="宋体" w:cs="Times New Roman"/>
      <w:sz w:val="28"/>
    </w:rPr>
  </w:style>
  <w:style w:type="paragraph" w:styleId="6">
    <w:name w:val="footer"/>
    <w:basedOn w:val="1"/>
    <w:qFormat/>
    <w:uiPriority w:val="99"/>
    <w:pPr>
      <w:tabs>
        <w:tab w:val="center" w:pos="4153"/>
        <w:tab w:val="right" w:pos="8306"/>
      </w:tabs>
      <w:snapToGrid w:val="0"/>
      <w:jc w:val="left"/>
    </w:pPr>
    <w:rPr>
      <w:sz w:val="18"/>
    </w:rPr>
  </w:style>
  <w:style w:type="paragraph" w:styleId="7">
    <w:name w:val="Normal (Web)"/>
    <w:basedOn w:val="1"/>
    <w:unhideWhenUsed/>
    <w:qFormat/>
    <w:uiPriority w:val="99"/>
    <w:pPr>
      <w:widowControl/>
      <w:spacing w:before="100" w:beforeAutospacing="1" w:after="100" w:afterAutospacing="1" w:line="240" w:lineRule="auto"/>
      <w:jc w:val="left"/>
    </w:pPr>
    <w:rPr>
      <w:rFonts w:ascii="宋体" w:hAnsi="宋体" w:eastAsia="宋体" w:cs="宋体"/>
      <w:kern w:val="0"/>
      <w:sz w:val="24"/>
    </w:rPr>
  </w:style>
  <w:style w:type="character" w:styleId="10">
    <w:name w:val="FollowedHyperlink"/>
    <w:basedOn w:val="9"/>
    <w:qFormat/>
    <w:uiPriority w:val="0"/>
    <w:rPr>
      <w:color w:val="666666"/>
      <w:u w:val="none"/>
    </w:rPr>
  </w:style>
  <w:style w:type="character" w:styleId="11">
    <w:name w:val="Hyperlink"/>
    <w:basedOn w:val="9"/>
    <w:qFormat/>
    <w:uiPriority w:val="0"/>
    <w:rPr>
      <w:color w:val="666666"/>
      <w:u w:val="none"/>
    </w:rPr>
  </w:style>
  <w:style w:type="character" w:customStyle="1" w:styleId="12">
    <w:name w:val="tlewh"/>
    <w:basedOn w:val="9"/>
    <w:qFormat/>
    <w:uiPriority w:val="0"/>
  </w:style>
  <w:style w:type="character" w:customStyle="1" w:styleId="13">
    <w:name w:val="red1"/>
    <w:basedOn w:val="9"/>
    <w:qFormat/>
    <w:uiPriority w:val="0"/>
    <w:rPr>
      <w:color w:val="E91C1C"/>
    </w:rPr>
  </w:style>
  <w:style w:type="character" w:customStyle="1" w:styleId="14">
    <w:name w:val="red2"/>
    <w:basedOn w:val="9"/>
    <w:qFormat/>
    <w:uiPriority w:val="0"/>
    <w:rPr>
      <w:color w:val="D90505"/>
    </w:rPr>
  </w:style>
  <w:style w:type="character" w:customStyle="1" w:styleId="15">
    <w:name w:val="red3"/>
    <w:basedOn w:val="9"/>
    <w:qFormat/>
    <w:uiPriority w:val="0"/>
    <w:rPr>
      <w:color w:val="E91B1B"/>
    </w:rPr>
  </w:style>
  <w:style w:type="character" w:customStyle="1" w:styleId="16">
    <w:name w:val="gray"/>
    <w:basedOn w:val="9"/>
    <w:qFormat/>
    <w:uiPriority w:val="0"/>
    <w:rPr>
      <w:color w:val="999999"/>
      <w:sz w:val="22"/>
      <w:szCs w:val="22"/>
    </w:rPr>
  </w:style>
  <w:style w:type="character" w:customStyle="1" w:styleId="17">
    <w:name w:val="on1"/>
    <w:basedOn w:val="9"/>
    <w:qFormat/>
    <w:uiPriority w:val="0"/>
    <w:rPr>
      <w:color w:val="FFFFFF"/>
      <w:shd w:val="clear" w:fill="D90606"/>
    </w:rPr>
  </w:style>
  <w:style w:type="character" w:customStyle="1" w:styleId="18">
    <w:name w:val="current"/>
    <w:basedOn w:val="9"/>
    <w:qFormat/>
    <w:uiPriority w:val="0"/>
    <w:rPr>
      <w:color w:val="D90606"/>
    </w:rPr>
  </w:style>
  <w:style w:type="character" w:customStyle="1" w:styleId="19">
    <w:name w:val="ontle7"/>
    <w:basedOn w:val="9"/>
    <w:qFormat/>
    <w:uiPriority w:val="0"/>
    <w:rPr>
      <w:b/>
      <w:color w:val="222222"/>
    </w:rPr>
  </w:style>
  <w:style w:type="character" w:customStyle="1" w:styleId="20">
    <w:name w:val="red"/>
    <w:basedOn w:val="9"/>
    <w:qFormat/>
    <w:uiPriority w:val="0"/>
    <w:rPr>
      <w:color w:val="D90505"/>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145</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2022-03-24T06:44:00Z</dcterms:created>
  <dc:creator>HY65</dc:creator>
  <cp:lastModifiedBy>HY65</cp:lastModifiedBy>
  <dcterms:modified xsi:type="dcterms:W3CDTF">2022-03-25T09:18:59Z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