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《江东新区森林火灾应急预案》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政策解读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《江东新区森林火灾应急预案》</w:t>
      </w:r>
      <w:r>
        <w:rPr>
          <w:rFonts w:hint="eastAsia" w:ascii="黑体" w:hAnsi="黑体" w:eastAsia="黑体" w:cs="黑体"/>
          <w:color w:val="000000" w:themeColor="text1"/>
          <w:sz w:val="32"/>
          <w:szCs w:val="32"/>
          <w:lang w:val="en-US" w:eastAsia="zh-CN"/>
          <w14:textFill>
            <w14:solidFill>
              <w14:schemeClr w14:val="tx1"/>
            </w14:solidFill>
          </w14:textFill>
        </w:rPr>
        <w:t>出台背景</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以习近平新时代中国特色社会主义思想为指导，深入贯彻落实习近平总书记关于防灾减灾救灾的重要论述和全面做好森林防灭火工作重要指示精神，坚持“预防为主、科学扑救、积极消灭”的森林防灭火工作方针和“生命至上、安全第—”的扑火救灾原则，坚持人民至上、生命至上，进一步健全完善统一领导、权责一致、权威高效的应急能力体系，依法有力有序有效处置森林火灾，保障人民生命财产安全，保护森林资源，维护生态安全。</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新区</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应急管理局</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结合新区实际，</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组织编制《</w:t>
      </w:r>
      <w:r>
        <w:rPr>
          <w:rFonts w:hint="eastAsia" w:ascii="仿宋_GB2312" w:hAnsi="仿宋_GB2312" w:eastAsia="仿宋_GB2312" w:cs="仿宋_GB2312"/>
          <w:color w:val="000000" w:themeColor="text1"/>
          <w:sz w:val="32"/>
          <w:szCs w:val="32"/>
          <w14:textFill>
            <w14:solidFill>
              <w14:schemeClr w14:val="tx1"/>
            </w14:solidFill>
          </w14:textFill>
        </w:rPr>
        <w:t>江东新区森林火灾应急预案</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》（以下简称《</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预案</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lang w:val="en-US" w:eastAsia="zh-CN"/>
          <w14:textFill>
            <w14:solidFill>
              <w14:schemeClr w14:val="tx1"/>
            </w14:solidFill>
          </w14:textFill>
        </w:rPr>
        <w:t>二、制定</w:t>
      </w:r>
      <w:r>
        <w:rPr>
          <w:rFonts w:hint="eastAsia" w:ascii="黑体" w:hAnsi="黑体" w:eastAsia="黑体" w:cs="黑体"/>
          <w:color w:val="000000" w:themeColor="text1"/>
          <w:sz w:val="32"/>
          <w:szCs w:val="32"/>
          <w14:textFill>
            <w14:solidFill>
              <w14:schemeClr w14:val="tx1"/>
            </w14:solidFill>
          </w14:textFill>
        </w:rPr>
        <w:t>《江东新区森林火灾应急预案》</w:t>
      </w:r>
      <w:r>
        <w:rPr>
          <w:rFonts w:hint="eastAsia" w:ascii="黑体" w:hAnsi="黑体" w:eastAsia="黑体" w:cs="黑体"/>
          <w:color w:val="000000" w:themeColor="text1"/>
          <w:sz w:val="32"/>
          <w:szCs w:val="32"/>
          <w:lang w:val="en-US" w:eastAsia="zh-CN"/>
          <w14:textFill>
            <w14:solidFill>
              <w14:schemeClr w14:val="tx1"/>
            </w14:solidFill>
          </w14:textFill>
        </w:rPr>
        <w:t>依据</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依据</w:t>
      </w:r>
      <w:r>
        <w:rPr>
          <w:rFonts w:hint="eastAsia" w:ascii="仿宋_GB2312" w:hAnsi="仿宋_GB2312" w:eastAsia="仿宋_GB2312" w:cs="仿宋_GB2312"/>
          <w:color w:val="000000" w:themeColor="text1"/>
          <w:sz w:val="32"/>
          <w:szCs w:val="32"/>
          <w14:textFill>
            <w14:solidFill>
              <w14:schemeClr w14:val="tx1"/>
            </w14:solidFill>
          </w14:textFill>
        </w:rPr>
        <w:t>《中华人民共和国森林法》《中华人民共和国突发事件应对法》《森林防火条例》《国家森林草原火灾应急预案》《广东省突发事件应对条例》《广东省森林防火条例》《广东省突发事件总体应急预案》《广东省森林火灾应急预案》《广东省森林防火工作责任制实施办法》《广东省突发事件预警信息发布管理办法》《广东省突发</w:t>
      </w: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事件现场指挥官制度实施办法(试行)》《广东省处置森林火灾现场指挥官工作规范(试行)》《广东省森林防灭火工作职责事项划分意见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江东新区突发事件总体应急预案》等法律法规及有关规定。</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三、主要内容</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本《预案》主要包括十一大内容。</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（一）总则。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包括编制目的、编制依据、适用范围、工作原则4部分内容。</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（二）组织指挥体系。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明确新区森林防灭火指挥部（以下简称新区森防指）为森林防灭火指挥机构，以及新区森防指各成员单位具体职责分工。森林火灾发生后，根据火灾级别明确了各级扑救指挥层级。</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（三）应急处置力量。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明确增援力量的编成、组成、调动及跨区支援的调动。</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color w:val="000000" w:themeColor="text1"/>
          <w:sz w:val="32"/>
          <w:szCs w:val="32"/>
          <w14:textFill>
            <w14:solidFill>
              <w14:schemeClr w14:val="tx1"/>
            </w14:solidFill>
          </w14:textFill>
        </w:rPr>
        <w:t>森林火险监测预警和响应措施</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森林火险预警级别划分为四个等级，由高到低依次用红色、橙色、黄色和蓝色表示。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针对不同预警级别，实施响应措施。</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（五）</w:t>
      </w:r>
      <w:r>
        <w:rPr>
          <w:rFonts w:hint="eastAsia" w:ascii="楷体_GB2312" w:hAnsi="楷体_GB2312" w:eastAsia="楷体_GB2312" w:cs="楷体_GB2312"/>
          <w:color w:val="000000" w:themeColor="text1"/>
          <w:sz w:val="32"/>
          <w:szCs w:val="32"/>
          <w14:textFill>
            <w14:solidFill>
              <w14:schemeClr w14:val="tx1"/>
            </w14:solidFill>
          </w14:textFill>
        </w:rPr>
        <w:t>森林火情监测和信息报告</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明确森林火情监测责任，</w:t>
      </w:r>
      <w:r>
        <w:rPr>
          <w:rFonts w:hint="eastAsia" w:ascii="仿宋_GB2312" w:hAnsi="仿宋_GB2312" w:eastAsia="仿宋_GB2312" w:cs="仿宋_GB2312"/>
          <w:color w:val="000000" w:themeColor="text1"/>
          <w:sz w:val="32"/>
          <w:szCs w:val="32"/>
          <w14:textFill>
            <w14:solidFill>
              <w14:schemeClr w14:val="tx1"/>
            </w14:solidFill>
          </w14:textFill>
        </w:rPr>
        <w:t>明确各乡镇（街道）森林防灭火指挥机构报送森林火灾信息、卫星火情热点信息的报送时效。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_GB2312" w:hAnsi="仿宋_GB2312" w:eastAsia="仿宋_GB2312" w:cs="仿宋_GB2312"/>
          <w:b w:val="0"/>
          <w:bCs/>
          <w:color w:val="000000" w:themeColor="text1"/>
          <w:sz w:val="32"/>
          <w:szCs w:val="32"/>
          <w14:textFill>
            <w14:solidFill>
              <w14:schemeClr w14:val="tx1"/>
            </w14:solidFill>
          </w14:textFill>
        </w:rPr>
      </w:pPr>
      <w:r>
        <w:rPr>
          <w:rFonts w:hint="eastAsia" w:ascii="楷体_GB2312" w:hAnsi="楷体_GB2312" w:eastAsia="楷体_GB2312" w:cs="楷体_GB2312"/>
          <w:b w:val="0"/>
          <w:bCs/>
          <w:color w:val="000000" w:themeColor="text1"/>
          <w:sz w:val="32"/>
          <w:szCs w:val="32"/>
          <w:lang w:val="en-US" w:eastAsia="zh-CN"/>
          <w14:textFill>
            <w14:solidFill>
              <w14:schemeClr w14:val="tx1"/>
            </w14:solidFill>
          </w14:textFill>
        </w:rPr>
        <w:t>（六）</w:t>
      </w:r>
      <w:r>
        <w:rPr>
          <w:rFonts w:hint="eastAsia" w:ascii="楷体_GB2312" w:hAnsi="楷体_GB2312" w:eastAsia="楷体_GB2312" w:cs="楷体_GB2312"/>
          <w:b w:val="0"/>
          <w:bCs/>
          <w:color w:val="000000" w:themeColor="text1"/>
          <w:sz w:val="32"/>
          <w:szCs w:val="32"/>
          <w14:textFill>
            <w14:solidFill>
              <w14:schemeClr w14:val="tx1"/>
            </w14:solidFill>
          </w14:textFill>
        </w:rPr>
        <w:t>森林火灾应急处置</w:t>
      </w:r>
      <w:r>
        <w:rPr>
          <w:rFonts w:hint="eastAsia" w:ascii="楷体_GB2312" w:hAnsi="楷体_GB2312" w:eastAsia="楷体_GB2312" w:cs="楷体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森林火灾发生后，根据火灾严重程度、火场发展态势和扑救情况，设定Ⅳ级、Ⅲ级、Ⅱ级、Ⅰ级四个响应等级。采取包括火灾扑救</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森林+城市</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以水灭森林火灾协同作战扑救火灾</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、转移安置人员、伤员救治、保护重要目标、维护社会治安、发布信息、火场清理</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看守</w:t>
      </w:r>
      <w:r>
        <w:rPr>
          <w:rFonts w:hint="eastAsia" w:ascii="仿宋_GB2312" w:hAnsi="仿宋_GB2312" w:eastAsia="仿宋_GB2312" w:cs="仿宋_GB2312"/>
          <w:b w:val="0"/>
          <w:bCs/>
          <w:color w:val="000000" w:themeColor="text1"/>
          <w:sz w:val="32"/>
          <w:szCs w:val="32"/>
          <w14:textFill>
            <w14:solidFill>
              <w14:schemeClr w14:val="tx1"/>
            </w14:solidFill>
          </w14:textFill>
        </w:rPr>
        <w:t>等应急响应措施。</w:t>
      </w:r>
      <w:r>
        <w:rPr>
          <w:rFonts w:hint="default" w:ascii="仿宋_GB2312" w:hAnsi="仿宋_GB2312" w:eastAsia="仿宋_GB2312" w:cs="仿宋_GB2312"/>
          <w:b w:val="0"/>
          <w:bCs/>
          <w:color w:val="000000" w:themeColor="text1"/>
          <w:sz w:val="32"/>
          <w:szCs w:val="32"/>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七</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应急结束。</w:t>
      </w:r>
      <w:r>
        <w:rPr>
          <w:rFonts w:hint="eastAsia" w:ascii="仿宋_GB2312" w:hAnsi="仿宋_GB2312" w:eastAsia="仿宋_GB2312" w:cs="仿宋_GB2312"/>
          <w:color w:val="000000" w:themeColor="text1"/>
          <w:sz w:val="32"/>
          <w:szCs w:val="32"/>
          <w14:textFill>
            <w14:solidFill>
              <w14:schemeClr w14:val="tx1"/>
            </w14:solidFill>
          </w14:textFill>
        </w:rPr>
        <w:t>森林火灾得到有效控制后，按照“谁启动、谁负责”原则，由现场指挥部报请解除应急响应，恢复正常森林防火工作秩序。</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八</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保障措施。</w:t>
      </w:r>
      <w:r>
        <w:rPr>
          <w:rFonts w:hint="eastAsia" w:ascii="仿宋_GB2312" w:hAnsi="仿宋_GB2312" w:eastAsia="仿宋_GB2312" w:cs="仿宋_GB2312"/>
          <w:color w:val="000000" w:themeColor="text1"/>
          <w:sz w:val="32"/>
          <w:szCs w:val="32"/>
          <w:lang w:eastAsia="zh-CN"/>
          <w14:textFill>
            <w14:solidFill>
              <w14:schemeClr w14:val="tx1"/>
            </w14:solidFill>
          </w14:textFill>
        </w:rPr>
        <w:t>重点明确了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通信保障、队伍</w:t>
      </w:r>
      <w:r>
        <w:rPr>
          <w:rFonts w:hint="eastAsia" w:ascii="仿宋_GB2312" w:hAnsi="仿宋_GB2312" w:eastAsia="仿宋_GB2312" w:cs="仿宋_GB2312"/>
          <w:color w:val="000000" w:themeColor="text1"/>
          <w:sz w:val="32"/>
          <w:szCs w:val="32"/>
          <w:lang w:eastAsia="zh-CN"/>
          <w14:textFill>
            <w14:solidFill>
              <w14:schemeClr w14:val="tx1"/>
            </w14:solidFill>
          </w14:textFill>
        </w:rPr>
        <w:t>保障、物资保障、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经费</w:t>
      </w:r>
      <w:r>
        <w:rPr>
          <w:rFonts w:hint="eastAsia" w:ascii="仿宋_GB2312" w:hAnsi="仿宋_GB2312" w:eastAsia="仿宋_GB2312" w:cs="仿宋_GB2312"/>
          <w:color w:val="000000" w:themeColor="text1"/>
          <w:sz w:val="32"/>
          <w:szCs w:val="32"/>
          <w:lang w:eastAsia="zh-CN"/>
          <w14:textFill>
            <w14:solidFill>
              <w14:schemeClr w14:val="tx1"/>
            </w14:solidFill>
          </w14:textFill>
        </w:rPr>
        <w:t>保障、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技术</w:t>
      </w:r>
      <w:r>
        <w:rPr>
          <w:rFonts w:hint="eastAsia" w:ascii="仿宋_GB2312" w:hAnsi="仿宋_GB2312" w:eastAsia="仿宋_GB2312" w:cs="仿宋_GB2312"/>
          <w:color w:val="000000" w:themeColor="text1"/>
          <w:sz w:val="32"/>
          <w:szCs w:val="32"/>
          <w:lang w:eastAsia="zh-CN"/>
          <w14:textFill>
            <w14:solidFill>
              <w14:schemeClr w14:val="tx1"/>
            </w14:solidFill>
          </w14:textFill>
        </w:rPr>
        <w:t>保障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等6</w:t>
      </w:r>
      <w:r>
        <w:rPr>
          <w:rFonts w:hint="eastAsia" w:ascii="仿宋_GB2312" w:hAnsi="仿宋_GB2312" w:eastAsia="仿宋_GB2312" w:cs="仿宋_GB2312"/>
          <w:color w:val="000000" w:themeColor="text1"/>
          <w:sz w:val="32"/>
          <w:szCs w:val="32"/>
          <w:lang w:eastAsia="zh-CN"/>
          <w14:textFill>
            <w14:solidFill>
              <w14:schemeClr w14:val="tx1"/>
            </w14:solidFill>
          </w14:textFill>
        </w:rPr>
        <w:t>个方面保障措施。</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九</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后期处置。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对火灾调查、案件查处、约谈整改、责任追究、工作总结、奖惩追责6方面工作进行规定。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（十）预案管理。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明确了预案演练、预案更新等2方面内容。</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（十一）附则。</w:t>
      </w:r>
      <w:r>
        <w:rPr>
          <w:rFonts w:hint="eastAsia" w:ascii="仿宋_GB2312" w:hAnsi="仿宋_GB2312" w:eastAsia="仿宋_GB2312" w:cs="仿宋_GB2312"/>
          <w:color w:val="000000" w:themeColor="text1"/>
          <w:sz w:val="32"/>
          <w:szCs w:val="32"/>
          <w14:textFill>
            <w14:solidFill>
              <w14:schemeClr w14:val="tx1"/>
            </w14:solidFill>
          </w14:textFill>
        </w:rPr>
        <w:t>主要是制定了森林火灾灾害分级标准。</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sectPr>
      <w:footerReference r:id="rId3" w:type="default"/>
      <w:pgSz w:w="11906" w:h="16838"/>
      <w:pgMar w:top="1531"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PAGE   \* MERGEFORMAT</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56</w:t>
    </w:r>
    <w:r>
      <w:rPr>
        <w:rFonts w:hint="eastAsia" w:ascii="仿宋_GB2312" w:hAnsi="仿宋_GB2312" w:eastAsia="仿宋_GB2312" w:cs="仿宋_GB2312"/>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E7D91"/>
    <w:rsid w:val="06675B34"/>
    <w:rsid w:val="098C46CD"/>
    <w:rsid w:val="1F735F2B"/>
    <w:rsid w:val="25F36326"/>
    <w:rsid w:val="2B4A7F73"/>
    <w:rsid w:val="3091228D"/>
    <w:rsid w:val="32030586"/>
    <w:rsid w:val="4A005269"/>
    <w:rsid w:val="4E9E32B0"/>
    <w:rsid w:val="587B61B0"/>
    <w:rsid w:val="5FB6559E"/>
    <w:rsid w:val="6924148F"/>
    <w:rsid w:val="7D2634CB"/>
    <w:rsid w:val="7DBE7D91"/>
    <w:rsid w:val="7E160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rFonts w:eastAsia="黑体"/>
      <w:kern w:val="44"/>
    </w:rPr>
  </w:style>
  <w:style w:type="paragraph" w:styleId="4">
    <w:name w:val="heading 3"/>
    <w:basedOn w:val="1"/>
    <w:next w:val="1"/>
    <w:qFormat/>
    <w:uiPriority w:val="0"/>
    <w:pPr>
      <w:keepNext/>
      <w:keepLines/>
      <w:spacing w:after="20" w:line="413" w:lineRule="auto"/>
      <w:outlineLvl w:val="2"/>
    </w:pPr>
    <w:rPr>
      <w:b/>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5">
    <w:name w:val="Body Text"/>
    <w:basedOn w:val="1"/>
    <w:next w:val="1"/>
    <w:qFormat/>
    <w:uiPriority w:val="0"/>
    <w:rPr>
      <w:rFonts w:ascii="宋体" w:hAnsi="宋体" w:eastAsia="宋体" w:cs="Times New Roman"/>
      <w:sz w:val="28"/>
    </w:rPr>
  </w:style>
  <w:style w:type="paragraph" w:styleId="6">
    <w:name w:val="footer"/>
    <w:basedOn w:val="1"/>
    <w:qFormat/>
    <w:uiPriority w:val="99"/>
    <w:pPr>
      <w:tabs>
        <w:tab w:val="center" w:pos="4153"/>
        <w:tab w:val="right" w:pos="8306"/>
      </w:tabs>
      <w:snapToGrid w:val="0"/>
      <w:jc w:val="left"/>
    </w:pPr>
    <w:rPr>
      <w:sz w:val="18"/>
    </w:rPr>
  </w:style>
  <w:style w:type="paragraph" w:styleId="7">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rPr>
  </w:style>
  <w:style w:type="character" w:styleId="10">
    <w:name w:val="FollowedHyperlink"/>
    <w:basedOn w:val="9"/>
    <w:qFormat/>
    <w:uiPriority w:val="0"/>
    <w:rPr>
      <w:color w:val="666666"/>
      <w:u w:val="none"/>
    </w:rPr>
  </w:style>
  <w:style w:type="character" w:styleId="11">
    <w:name w:val="Hyperlink"/>
    <w:basedOn w:val="9"/>
    <w:qFormat/>
    <w:uiPriority w:val="0"/>
    <w:rPr>
      <w:color w:val="666666"/>
      <w:u w:val="none"/>
    </w:rPr>
  </w:style>
  <w:style w:type="character" w:customStyle="1" w:styleId="12">
    <w:name w:val="tlewh"/>
    <w:basedOn w:val="9"/>
    <w:qFormat/>
    <w:uiPriority w:val="0"/>
  </w:style>
  <w:style w:type="character" w:customStyle="1" w:styleId="13">
    <w:name w:val="red1"/>
    <w:basedOn w:val="9"/>
    <w:qFormat/>
    <w:uiPriority w:val="0"/>
    <w:rPr>
      <w:color w:val="E91C1C"/>
    </w:rPr>
  </w:style>
  <w:style w:type="character" w:customStyle="1" w:styleId="14">
    <w:name w:val="red2"/>
    <w:basedOn w:val="9"/>
    <w:qFormat/>
    <w:uiPriority w:val="0"/>
    <w:rPr>
      <w:color w:val="D90505"/>
    </w:rPr>
  </w:style>
  <w:style w:type="character" w:customStyle="1" w:styleId="15">
    <w:name w:val="red3"/>
    <w:basedOn w:val="9"/>
    <w:qFormat/>
    <w:uiPriority w:val="0"/>
    <w:rPr>
      <w:color w:val="E91B1B"/>
    </w:rPr>
  </w:style>
  <w:style w:type="character" w:customStyle="1" w:styleId="16">
    <w:name w:val="gray"/>
    <w:basedOn w:val="9"/>
    <w:qFormat/>
    <w:uiPriority w:val="0"/>
    <w:rPr>
      <w:color w:val="999999"/>
      <w:sz w:val="22"/>
      <w:szCs w:val="22"/>
    </w:rPr>
  </w:style>
  <w:style w:type="character" w:customStyle="1" w:styleId="17">
    <w:name w:val="on1"/>
    <w:basedOn w:val="9"/>
    <w:qFormat/>
    <w:uiPriority w:val="0"/>
    <w:rPr>
      <w:color w:val="FFFFFF"/>
      <w:shd w:val="clear" w:fill="D90606"/>
    </w:rPr>
  </w:style>
  <w:style w:type="character" w:customStyle="1" w:styleId="18">
    <w:name w:val="current"/>
    <w:basedOn w:val="9"/>
    <w:qFormat/>
    <w:uiPriority w:val="0"/>
    <w:rPr>
      <w:color w:val="D90606"/>
    </w:rPr>
  </w:style>
  <w:style w:type="character" w:customStyle="1" w:styleId="19">
    <w:name w:val="ontle7"/>
    <w:basedOn w:val="9"/>
    <w:qFormat/>
    <w:uiPriority w:val="0"/>
    <w:rPr>
      <w:b/>
      <w:color w:val="222222"/>
    </w:rPr>
  </w:style>
  <w:style w:type="character" w:customStyle="1" w:styleId="20">
    <w:name w:val="red"/>
    <w:basedOn w:val="9"/>
    <w:qFormat/>
    <w:uiPriority w:val="0"/>
    <w:rPr>
      <w:color w:val="D9050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2022-03-24T06:44:00Z</dcterms:created>
  <dc:creator>HY65</dc:creator>
  <cp:lastModifiedBy>HY65</cp:lastModifiedBy>
  <dcterms:modified xsi:type="dcterms:W3CDTF">2022-06-21T01:53:35Z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