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创艺简标宋" w:hAnsi="创艺简标宋" w:eastAsia="创艺简标宋" w:cs="创艺简标宋"/>
          <w:b w:val="0"/>
          <w:bCs w:val="0"/>
          <w:sz w:val="44"/>
          <w:szCs w:val="44"/>
          <w:lang w:val="en-US" w:eastAsia="zh-CN"/>
        </w:rPr>
      </w:pPr>
      <w:r>
        <w:rPr>
          <w:rFonts w:hint="eastAsia" w:ascii="创艺简标宋" w:hAnsi="创艺简标宋" w:eastAsia="创艺简标宋" w:cs="创艺简标宋"/>
          <w:b w:val="0"/>
          <w:bCs w:val="0"/>
          <w:sz w:val="44"/>
          <w:szCs w:val="44"/>
          <w:lang w:eastAsia="zh-CN"/>
        </w:rPr>
        <w:t>河源江东新区</w:t>
      </w:r>
      <w:r>
        <w:rPr>
          <w:rFonts w:hint="eastAsia" w:ascii="创艺简标宋" w:hAnsi="创艺简标宋" w:eastAsia="创艺简标宋" w:cs="创艺简标宋"/>
          <w:b w:val="0"/>
          <w:bCs w:val="0"/>
          <w:sz w:val="44"/>
          <w:szCs w:val="44"/>
          <w:lang w:val="en-US" w:eastAsia="zh-CN"/>
        </w:rPr>
        <w:t>2022年新春暖企十条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楷体" w:hAnsi="楷体" w:eastAsia="楷体" w:cs="楷体"/>
          <w:b w:val="0"/>
          <w:bCs w:val="0"/>
          <w:i w:val="0"/>
          <w:iCs w:val="0"/>
          <w:caps w:val="0"/>
          <w:color w:val="333333"/>
          <w:spacing w:val="0"/>
          <w:sz w:val="32"/>
          <w:szCs w:val="32"/>
          <w:shd w:val="clear" w:fill="FFFFFF"/>
          <w:lang w:val="en-US" w:eastAsia="zh-CN"/>
        </w:rPr>
      </w:pPr>
      <w:r>
        <w:rPr>
          <w:rFonts w:hint="eastAsia" w:ascii="楷体" w:hAnsi="楷体" w:eastAsia="楷体" w:cs="楷体"/>
          <w:b w:val="0"/>
          <w:bCs w:val="0"/>
          <w:i w:val="0"/>
          <w:iCs w:val="0"/>
          <w:caps w:val="0"/>
          <w:color w:val="333333"/>
          <w:spacing w:val="0"/>
          <w:sz w:val="32"/>
          <w:szCs w:val="32"/>
          <w:shd w:val="clear" w:fill="FFFFFF"/>
          <w:lang w:val="en-US" w:eastAsia="zh-CN"/>
        </w:rPr>
        <w:t>（征求意</w:t>
      </w:r>
      <w:bookmarkStart w:id="0" w:name="_GoBack"/>
      <w:bookmarkEnd w:id="0"/>
      <w:r>
        <w:rPr>
          <w:rFonts w:hint="eastAsia" w:ascii="楷体" w:hAnsi="楷体" w:eastAsia="楷体" w:cs="楷体"/>
          <w:b w:val="0"/>
          <w:bCs w:val="0"/>
          <w:i w:val="0"/>
          <w:iCs w:val="0"/>
          <w:caps w:val="0"/>
          <w:color w:val="333333"/>
          <w:spacing w:val="0"/>
          <w:sz w:val="32"/>
          <w:szCs w:val="32"/>
          <w:shd w:val="clear" w:fill="FFFFFF"/>
          <w:lang w:val="en-US" w:eastAsia="zh-CN"/>
        </w:rPr>
        <w:t>见稿）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为进一步做好企业服务工作，助力企业复工复产，营造亲商、爱商、护商的良好氛围，特制定以下</w:t>
      </w:r>
      <w:r>
        <w:rPr>
          <w:rFonts w:hint="eastAsia" w:ascii="仿宋_GB2312" w:hAnsi="仿宋_GB2312" w:eastAsia="仿宋_GB2312" w:cs="仿宋_GB2312"/>
          <w:sz w:val="32"/>
          <w:szCs w:val="32"/>
          <w:lang w:val="en-US" w:eastAsia="zh-CN"/>
        </w:rPr>
        <w:t>应急扶持</w:t>
      </w:r>
      <w:r>
        <w:rPr>
          <w:rFonts w:hint="eastAsia" w:ascii="仿宋_GB2312" w:hAnsi="仿宋_GB2312" w:eastAsia="仿宋_GB2312" w:cs="仿宋_GB2312"/>
          <w:i w:val="0"/>
          <w:iCs w:val="0"/>
          <w:caps w:val="0"/>
          <w:color w:val="333333"/>
          <w:spacing w:val="0"/>
          <w:sz w:val="32"/>
          <w:szCs w:val="32"/>
          <w:shd w:val="clear" w:fill="FFFFFF"/>
          <w:lang w:val="en-US" w:eastAsia="zh-CN"/>
        </w:rPr>
        <w:t>政策。本政策的扶持对象为受新冠肺炎疫情影响较为严重的江东新区重点行业企业，主要包括制造业、商业（批发业、住宿业、零售业、餐饮业）、商务及居民服务业、建筑业、文体旅游业、交通运输业、房地产业、会展业和科研技术服务业等民营企业以及为上述行业企业提供服务的企业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第一条</w:t>
      </w:r>
      <w:r>
        <w:rPr>
          <w:rFonts w:hint="eastAsia" w:ascii="黑体" w:hAnsi="黑体" w:eastAsia="黑体" w:cs="黑体"/>
          <w:sz w:val="32"/>
          <w:szCs w:val="32"/>
          <w:lang w:val="en-US" w:eastAsia="zh-CN"/>
        </w:rPr>
        <w:t xml:space="preserve"> 复工复产扶持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仿宋_GB2312" w:eastAsia="仿宋_GB2312" w:cs="仿宋_GB2312"/>
          <w:i w:val="0"/>
          <w:caps w:val="0"/>
          <w:color w:val="333333"/>
          <w:spacing w:val="8"/>
          <w:sz w:val="32"/>
          <w:szCs w:val="32"/>
          <w:highlight w:val="yellow"/>
          <w:shd w:val="clear" w:fill="FFFFFF"/>
          <w:lang w:val="en-US" w:eastAsia="zh-CN"/>
        </w:rPr>
      </w:pPr>
      <w:r>
        <w:rPr>
          <w:rFonts w:hint="eastAsia" w:ascii="仿宋_GB2312" w:hAnsi="仿宋_GB2312" w:eastAsia="仿宋_GB2312" w:cs="仿宋_GB2312"/>
          <w:i w:val="0"/>
          <w:caps w:val="0"/>
          <w:color w:val="333333"/>
          <w:spacing w:val="8"/>
          <w:sz w:val="32"/>
          <w:szCs w:val="32"/>
          <w:shd w:val="clear" w:fill="FFFFFF"/>
          <w:lang w:eastAsia="zh-CN"/>
        </w:rPr>
        <w:t>为全面做好</w:t>
      </w:r>
      <w:r>
        <w:rPr>
          <w:rFonts w:hint="eastAsia" w:ascii="仿宋_GB2312" w:hAnsi="仿宋_GB2312" w:eastAsia="仿宋_GB2312" w:cs="仿宋_GB2312"/>
          <w:i w:val="0"/>
          <w:caps w:val="0"/>
          <w:color w:val="333333"/>
          <w:spacing w:val="8"/>
          <w:sz w:val="32"/>
          <w:szCs w:val="32"/>
          <w:shd w:val="clear" w:fill="FFFFFF"/>
        </w:rPr>
        <w:t>企业按期复工复产，</w:t>
      </w:r>
      <w:r>
        <w:rPr>
          <w:rFonts w:hint="eastAsia" w:ascii="仿宋_GB2312" w:hAnsi="仿宋_GB2312" w:eastAsia="仿宋_GB2312" w:cs="仿宋_GB2312"/>
          <w:i w:val="0"/>
          <w:caps w:val="0"/>
          <w:color w:val="333333"/>
          <w:spacing w:val="8"/>
          <w:sz w:val="32"/>
          <w:szCs w:val="32"/>
          <w:shd w:val="clear" w:fill="FFFFFF"/>
          <w:lang w:eastAsia="zh-CN"/>
        </w:rPr>
        <w:t>进一步推动</w:t>
      </w:r>
      <w:r>
        <w:rPr>
          <w:rFonts w:hint="eastAsia" w:ascii="仿宋_GB2312" w:hAnsi="仿宋_GB2312" w:eastAsia="仿宋_GB2312" w:cs="仿宋_GB2312"/>
          <w:i w:val="0"/>
          <w:caps w:val="0"/>
          <w:color w:val="333333"/>
          <w:spacing w:val="8"/>
          <w:sz w:val="32"/>
          <w:szCs w:val="32"/>
          <w:shd w:val="clear" w:fill="FFFFFF"/>
        </w:rPr>
        <w:t>企业实现“开门红</w:t>
      </w:r>
      <w:r>
        <w:rPr>
          <w:rFonts w:hint="eastAsia" w:ascii="仿宋_GB2312" w:hAnsi="仿宋_GB2312" w:eastAsia="仿宋_GB2312" w:cs="仿宋_GB2312"/>
          <w:i w:val="0"/>
          <w:caps w:val="0"/>
          <w:color w:val="333333"/>
          <w:spacing w:val="8"/>
          <w:sz w:val="32"/>
          <w:szCs w:val="32"/>
          <w:shd w:val="clear" w:fill="FFFFFF"/>
          <w:lang w:eastAsia="zh-CN"/>
        </w:rPr>
        <w:t>，</w:t>
      </w:r>
      <w:r>
        <w:rPr>
          <w:rFonts w:hint="eastAsia" w:ascii="仿宋_GB2312" w:hAnsi="仿宋_GB2312" w:eastAsia="仿宋_GB2312" w:cs="仿宋_GB2312"/>
          <w:i w:val="0"/>
          <w:caps w:val="0"/>
          <w:color w:val="333333"/>
          <w:spacing w:val="8"/>
          <w:sz w:val="32"/>
          <w:szCs w:val="32"/>
          <w:shd w:val="clear" w:fill="FFFFFF"/>
          <w:lang w:val="en-US" w:eastAsia="zh-CN"/>
        </w:rPr>
        <w:t>新区</w:t>
      </w:r>
      <w:r>
        <w:rPr>
          <w:rFonts w:hint="eastAsia" w:ascii="仿宋_GB2312" w:hAnsi="仿宋_GB2312" w:eastAsia="仿宋_GB2312" w:cs="仿宋_GB2312"/>
          <w:i w:val="0"/>
          <w:caps w:val="0"/>
          <w:color w:val="333333"/>
          <w:spacing w:val="8"/>
          <w:sz w:val="32"/>
          <w:szCs w:val="32"/>
          <w:shd w:val="clear" w:fill="FFFFFF"/>
        </w:rPr>
        <w:t>规上</w:t>
      </w:r>
      <w:r>
        <w:rPr>
          <w:rFonts w:hint="eastAsia" w:ascii="仿宋_GB2312" w:hAnsi="仿宋_GB2312" w:eastAsia="仿宋_GB2312" w:cs="仿宋_GB2312"/>
          <w:i w:val="0"/>
          <w:caps w:val="0"/>
          <w:color w:val="333333"/>
          <w:spacing w:val="8"/>
          <w:sz w:val="32"/>
          <w:szCs w:val="32"/>
          <w:shd w:val="clear" w:fill="FFFFFF"/>
          <w:lang w:eastAsia="zh-CN"/>
        </w:rPr>
        <w:t>工业</w:t>
      </w:r>
      <w:r>
        <w:rPr>
          <w:rFonts w:hint="eastAsia" w:ascii="仿宋_GB2312" w:hAnsi="仿宋_GB2312" w:eastAsia="仿宋_GB2312" w:cs="仿宋_GB2312"/>
          <w:i w:val="0"/>
          <w:caps w:val="0"/>
          <w:color w:val="333333"/>
          <w:spacing w:val="8"/>
          <w:sz w:val="32"/>
          <w:szCs w:val="32"/>
          <w:shd w:val="clear" w:fill="FFFFFF"/>
        </w:rPr>
        <w:t>企业，2022年一季度</w:t>
      </w:r>
      <w:r>
        <w:rPr>
          <w:rFonts w:hint="eastAsia" w:ascii="仿宋_GB2312" w:hAnsi="仿宋_GB2312" w:eastAsia="仿宋_GB2312" w:cs="仿宋_GB2312"/>
          <w:i w:val="0"/>
          <w:caps w:val="0"/>
          <w:color w:val="333333"/>
          <w:spacing w:val="8"/>
          <w:sz w:val="32"/>
          <w:szCs w:val="32"/>
          <w:shd w:val="clear" w:fill="FFFFFF"/>
          <w:lang w:eastAsia="zh-CN"/>
        </w:rPr>
        <w:t>规模以上</w:t>
      </w:r>
      <w:r>
        <w:rPr>
          <w:rFonts w:hint="eastAsia" w:ascii="仿宋_GB2312" w:hAnsi="仿宋_GB2312" w:eastAsia="仿宋_GB2312" w:cs="仿宋_GB2312"/>
          <w:i w:val="0"/>
          <w:caps w:val="0"/>
          <w:color w:val="333333"/>
          <w:spacing w:val="8"/>
          <w:sz w:val="32"/>
          <w:szCs w:val="32"/>
          <w:shd w:val="clear" w:fill="FFFFFF"/>
        </w:rPr>
        <w:t>工业</w:t>
      </w:r>
      <w:r>
        <w:rPr>
          <w:rFonts w:hint="eastAsia" w:ascii="仿宋_GB2312" w:hAnsi="仿宋_GB2312" w:eastAsia="仿宋_GB2312" w:cs="仿宋_GB2312"/>
          <w:i w:val="0"/>
          <w:caps w:val="0"/>
          <w:color w:val="333333"/>
          <w:spacing w:val="8"/>
          <w:sz w:val="32"/>
          <w:szCs w:val="32"/>
          <w:shd w:val="clear" w:fill="FFFFFF"/>
          <w:lang w:val="en-US" w:eastAsia="zh-CN"/>
        </w:rPr>
        <w:t>产</w:t>
      </w:r>
      <w:r>
        <w:rPr>
          <w:rFonts w:hint="eastAsia" w:ascii="仿宋_GB2312" w:hAnsi="仿宋_GB2312" w:eastAsia="仿宋_GB2312" w:cs="仿宋_GB2312"/>
          <w:i w:val="0"/>
          <w:caps w:val="0"/>
          <w:color w:val="333333"/>
          <w:spacing w:val="8"/>
          <w:sz w:val="32"/>
          <w:szCs w:val="32"/>
          <w:shd w:val="clear" w:fill="FFFFFF"/>
          <w:lang w:eastAsia="zh-CN"/>
        </w:rPr>
        <w:t>值</w:t>
      </w:r>
      <w:r>
        <w:rPr>
          <w:rFonts w:hint="eastAsia" w:ascii="仿宋_GB2312" w:hAnsi="仿宋_GB2312" w:eastAsia="仿宋_GB2312" w:cs="仿宋_GB2312"/>
          <w:i w:val="0"/>
          <w:caps w:val="0"/>
          <w:color w:val="333333"/>
          <w:spacing w:val="8"/>
          <w:sz w:val="32"/>
          <w:szCs w:val="32"/>
          <w:shd w:val="clear" w:fill="FFFFFF"/>
        </w:rPr>
        <w:t>同比增长</w:t>
      </w:r>
      <w:r>
        <w:rPr>
          <w:rFonts w:hint="eastAsia" w:ascii="仿宋_GB2312" w:hAnsi="仿宋_GB2312" w:eastAsia="仿宋_GB2312" w:cs="仿宋_GB2312"/>
          <w:i w:val="0"/>
          <w:caps w:val="0"/>
          <w:color w:val="333333"/>
          <w:spacing w:val="8"/>
          <w:sz w:val="32"/>
          <w:szCs w:val="32"/>
          <w:shd w:val="clear" w:fill="FFFFFF"/>
          <w:lang w:val="en-US" w:eastAsia="zh-CN"/>
        </w:rPr>
        <w:t>2</w:t>
      </w:r>
      <w:r>
        <w:rPr>
          <w:rFonts w:hint="eastAsia" w:ascii="仿宋_GB2312" w:hAnsi="仿宋_GB2312" w:eastAsia="仿宋_GB2312" w:cs="仿宋_GB2312"/>
          <w:i w:val="0"/>
          <w:caps w:val="0"/>
          <w:color w:val="333333"/>
          <w:spacing w:val="8"/>
          <w:sz w:val="32"/>
          <w:szCs w:val="32"/>
          <w:shd w:val="clear" w:fill="FFFFFF"/>
        </w:rPr>
        <w:t>0%及以上的，产值同比每增加1</w:t>
      </w:r>
      <w:r>
        <w:rPr>
          <w:rFonts w:hint="eastAsia" w:ascii="仿宋_GB2312" w:hAnsi="仿宋_GB2312" w:eastAsia="仿宋_GB2312" w:cs="仿宋_GB2312"/>
          <w:i w:val="0"/>
          <w:caps w:val="0"/>
          <w:color w:val="333333"/>
          <w:spacing w:val="8"/>
          <w:sz w:val="32"/>
          <w:szCs w:val="32"/>
          <w:shd w:val="clear" w:fill="FFFFFF"/>
          <w:lang w:val="en-US" w:eastAsia="zh-CN"/>
        </w:rPr>
        <w:t>5</w:t>
      </w:r>
      <w:r>
        <w:rPr>
          <w:rFonts w:hint="eastAsia" w:ascii="仿宋_GB2312" w:hAnsi="仿宋_GB2312" w:eastAsia="仿宋_GB2312" w:cs="仿宋_GB2312"/>
          <w:i w:val="0"/>
          <w:caps w:val="0"/>
          <w:color w:val="333333"/>
          <w:spacing w:val="8"/>
          <w:sz w:val="32"/>
          <w:szCs w:val="32"/>
          <w:shd w:val="clear" w:fill="FFFFFF"/>
        </w:rPr>
        <w:t>00万元奖励</w:t>
      </w:r>
      <w:r>
        <w:rPr>
          <w:rFonts w:hint="eastAsia" w:ascii="仿宋_GB2312" w:hAnsi="仿宋_GB2312" w:eastAsia="仿宋_GB2312" w:cs="仿宋_GB2312"/>
          <w:i w:val="0"/>
          <w:caps w:val="0"/>
          <w:color w:val="333333"/>
          <w:spacing w:val="8"/>
          <w:sz w:val="32"/>
          <w:szCs w:val="32"/>
          <w:shd w:val="clear" w:fill="FFFFFF"/>
          <w:lang w:val="en-US" w:eastAsia="zh-CN"/>
        </w:rPr>
        <w:t>2</w:t>
      </w:r>
      <w:r>
        <w:rPr>
          <w:rFonts w:hint="eastAsia" w:ascii="仿宋_GB2312" w:hAnsi="仿宋_GB2312" w:eastAsia="仿宋_GB2312" w:cs="仿宋_GB2312"/>
          <w:i w:val="0"/>
          <w:caps w:val="0"/>
          <w:color w:val="333333"/>
          <w:spacing w:val="8"/>
          <w:sz w:val="32"/>
          <w:szCs w:val="32"/>
          <w:shd w:val="clear" w:fill="FFFFFF"/>
        </w:rPr>
        <w:t>万元</w:t>
      </w:r>
      <w:r>
        <w:rPr>
          <w:rFonts w:hint="eastAsia" w:ascii="仿宋_GB2312" w:hAnsi="仿宋_GB2312" w:eastAsia="仿宋_GB2312" w:cs="仿宋_GB2312"/>
          <w:i w:val="0"/>
          <w:caps w:val="0"/>
          <w:color w:val="333333"/>
          <w:spacing w:val="8"/>
          <w:sz w:val="32"/>
          <w:szCs w:val="32"/>
          <w:shd w:val="clear" w:fill="FFFFFF"/>
          <w:lang w:eastAsia="zh-CN"/>
        </w:rPr>
        <w:t>，单个企业最高不超过</w:t>
      </w:r>
      <w:r>
        <w:rPr>
          <w:rFonts w:hint="eastAsia" w:ascii="仿宋_GB2312" w:hAnsi="仿宋_GB2312" w:eastAsia="仿宋_GB2312" w:cs="仿宋_GB2312"/>
          <w:i w:val="0"/>
          <w:caps w:val="0"/>
          <w:color w:val="333333"/>
          <w:spacing w:val="8"/>
          <w:sz w:val="32"/>
          <w:szCs w:val="32"/>
          <w:shd w:val="clear" w:fill="FFFFFF"/>
          <w:lang w:val="en-US" w:eastAsia="zh-CN"/>
        </w:rPr>
        <w:t>10万元</w:t>
      </w:r>
      <w:r>
        <w:rPr>
          <w:rFonts w:hint="eastAsia" w:ascii="仿宋_GB2312" w:hAnsi="仿宋_GB2312" w:eastAsia="仿宋_GB2312" w:cs="仿宋_GB2312"/>
          <w:i w:val="0"/>
          <w:caps w:val="0"/>
          <w:color w:val="333333"/>
          <w:spacing w:val="8"/>
          <w:sz w:val="32"/>
          <w:szCs w:val="32"/>
          <w:shd w:val="clear" w:fill="FFFFFF"/>
          <w:lang w:eastAsia="zh-CN"/>
        </w:rPr>
        <w:t>。</w:t>
      </w:r>
      <w:r>
        <w:rPr>
          <w:rFonts w:hint="eastAsia" w:ascii="仿宋_GB2312" w:hAnsi="仿宋_GB2312" w:eastAsia="仿宋_GB2312" w:cs="仿宋_GB2312"/>
          <w:sz w:val="32"/>
          <w:szCs w:val="32"/>
          <w:lang w:val="en-US" w:eastAsia="zh-CN"/>
        </w:rPr>
        <w:t>（牵头单位：新区经济促进局）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第二条 厂房租赁资金扶持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仿宋_GB2312" w:eastAsia="仿宋_GB2312" w:cs="仿宋_GB2312"/>
          <w:i w:val="0"/>
          <w:caps w:val="0"/>
          <w:color w:val="333333"/>
          <w:spacing w:val="8"/>
          <w:sz w:val="32"/>
          <w:szCs w:val="32"/>
          <w:highlight w:val="yellow"/>
          <w:shd w:val="clear" w:fill="FFFFFF"/>
          <w:lang w:val="en-US" w:eastAsia="zh-CN"/>
        </w:rPr>
      </w:pPr>
      <w:r>
        <w:rPr>
          <w:rFonts w:hint="eastAsia" w:ascii="仿宋_GB2312" w:hAnsi="仿宋_GB2312" w:eastAsia="仿宋_GB2312" w:cs="仿宋_GB2312"/>
          <w:i w:val="0"/>
          <w:caps w:val="0"/>
          <w:color w:val="333333"/>
          <w:spacing w:val="8"/>
          <w:sz w:val="32"/>
          <w:szCs w:val="32"/>
          <w:shd w:val="clear" w:fill="FFFFFF"/>
          <w:lang w:eastAsia="zh-CN"/>
        </w:rPr>
        <w:t>对承接新区国有资产类厂房的规上企业第一季度产值增速达</w:t>
      </w:r>
      <w:r>
        <w:rPr>
          <w:rFonts w:hint="eastAsia" w:ascii="仿宋_GB2312" w:hAnsi="仿宋_GB2312" w:eastAsia="仿宋_GB2312" w:cs="仿宋_GB2312"/>
          <w:i w:val="0"/>
          <w:caps w:val="0"/>
          <w:color w:val="333333"/>
          <w:spacing w:val="8"/>
          <w:sz w:val="32"/>
          <w:szCs w:val="32"/>
          <w:shd w:val="clear" w:fill="FFFFFF"/>
          <w:lang w:val="en-US" w:eastAsia="zh-CN"/>
        </w:rPr>
        <w:t>10%以上（含）</w:t>
      </w:r>
      <w:r>
        <w:rPr>
          <w:rFonts w:hint="eastAsia" w:ascii="仿宋_GB2312" w:hAnsi="仿宋_GB2312" w:eastAsia="仿宋_GB2312" w:cs="仿宋_GB2312"/>
          <w:i w:val="0"/>
          <w:caps w:val="0"/>
          <w:color w:val="333333"/>
          <w:spacing w:val="8"/>
          <w:sz w:val="32"/>
          <w:szCs w:val="32"/>
          <w:shd w:val="clear" w:fill="FFFFFF"/>
        </w:rPr>
        <w:t>，</w:t>
      </w:r>
      <w:r>
        <w:rPr>
          <w:rFonts w:hint="eastAsia" w:ascii="仿宋_GB2312" w:hAnsi="仿宋_GB2312" w:eastAsia="仿宋_GB2312" w:cs="仿宋_GB2312"/>
          <w:i w:val="0"/>
          <w:caps w:val="0"/>
          <w:color w:val="333333"/>
          <w:spacing w:val="8"/>
          <w:sz w:val="32"/>
          <w:szCs w:val="32"/>
          <w:shd w:val="clear" w:fill="FFFFFF"/>
          <w:lang w:eastAsia="zh-CN"/>
        </w:rPr>
        <w:t>按生产厂房租金部分免租</w:t>
      </w:r>
      <w:r>
        <w:rPr>
          <w:rFonts w:hint="eastAsia" w:ascii="仿宋_GB2312" w:hAnsi="仿宋_GB2312" w:eastAsia="仿宋_GB2312" w:cs="仿宋_GB2312"/>
          <w:i w:val="0"/>
          <w:caps w:val="0"/>
          <w:color w:val="333333"/>
          <w:spacing w:val="8"/>
          <w:sz w:val="32"/>
          <w:szCs w:val="32"/>
          <w:shd w:val="clear" w:fill="FFFFFF"/>
          <w:lang w:val="en-US" w:eastAsia="zh-CN"/>
        </w:rPr>
        <w:t>1个月。</w:t>
      </w:r>
      <w:r>
        <w:rPr>
          <w:rFonts w:hint="eastAsia" w:ascii="仿宋_GB2312" w:hAnsi="仿宋_GB2312" w:eastAsia="仿宋_GB2312" w:cs="仿宋_GB2312"/>
          <w:sz w:val="32"/>
          <w:szCs w:val="32"/>
          <w:lang w:val="en-US" w:eastAsia="zh-CN"/>
        </w:rPr>
        <w:t>（牵头单位：新区发展财政局）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第三条 工业固定资产投资扶持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仿宋_GB2312" w:eastAsia="仿宋_GB2312" w:cs="仿宋_GB2312"/>
          <w:i w:val="0"/>
          <w:caps w:val="0"/>
          <w:color w:val="333333"/>
          <w:spacing w:val="8"/>
          <w:sz w:val="32"/>
          <w:szCs w:val="32"/>
          <w:highlight w:val="yellow"/>
          <w:shd w:val="clear" w:fill="FFFFFF"/>
          <w:lang w:val="en-US" w:eastAsia="zh-CN"/>
        </w:rPr>
      </w:pPr>
      <w:r>
        <w:rPr>
          <w:rFonts w:hint="eastAsia" w:ascii="仿宋_GB2312" w:hAnsi="仿宋_GB2312" w:eastAsia="仿宋_GB2312" w:cs="仿宋_GB2312"/>
          <w:i w:val="0"/>
          <w:caps w:val="0"/>
          <w:color w:val="333333"/>
          <w:spacing w:val="8"/>
          <w:sz w:val="32"/>
          <w:szCs w:val="32"/>
          <w:shd w:val="clear" w:fill="FFFFFF"/>
          <w:lang w:val="en-US" w:eastAsia="zh-CN"/>
        </w:rPr>
        <w:t>对2022年第一季度工业固定资产投资同比分别增加1000万元（含）至2000万元，2000万元（含）至3000万元，3000万元（含）以上的工业企业，分别给予10万元、20万元、30万元一次性奖励。</w:t>
      </w:r>
      <w:r>
        <w:rPr>
          <w:rFonts w:hint="eastAsia" w:ascii="仿宋_GB2312" w:hAnsi="仿宋_GB2312" w:eastAsia="仿宋_GB2312" w:cs="仿宋_GB2312"/>
          <w:sz w:val="32"/>
          <w:szCs w:val="32"/>
          <w:lang w:val="en-US" w:eastAsia="zh-CN"/>
        </w:rPr>
        <w:t>（牵头单位：新区经济促进局）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第四条 商贸上限企业扶持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新区限额以上批发、零售、住宿、餐饮企业（含个体户）2022年第一季度销售额同比去年持平，给予一次性奖励2万元；同比增长5%的给予一次性奖励5万元；同比增长10%以上的，给予一次性奖励8万元。</w:t>
      </w:r>
      <w:r>
        <w:rPr>
          <w:rFonts w:hint="eastAsia" w:ascii="仿宋" w:hAnsi="仿宋" w:eastAsia="仿宋" w:cs="仿宋"/>
          <w:sz w:val="32"/>
          <w:szCs w:val="32"/>
          <w:lang w:val="en-US" w:eastAsia="zh-CN"/>
        </w:rPr>
        <w:t>（牵头单位：新区经济促进局）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第五条 贷款贴息扶持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lang w:val="en-US" w:eastAsia="zh-CN"/>
        </w:rPr>
        <w:t>2022年2月7日至7月31日期间，获得银行等金融机构新增贷款（展期视同新增）的企业，按6个月贷款实际支付利息的50%且总额最高为20万元的贴息支持。（牵头单位：新区发展财政局）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第六条</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用工保障扶持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为全力保障企业用工平稳，新区将充分调动各方资源，进一步加强招工引工服务。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sz w:val="32"/>
          <w:szCs w:val="32"/>
          <w:lang w:eastAsia="zh-CN"/>
        </w:rPr>
        <w:t>结合“南粤春暖”“春风行动”系列专项招聘活动，到两镇一街开展“职选江东”线上线下招聘活动。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鼓励企业自行招聘。</w:t>
      </w:r>
      <w:r>
        <w:rPr>
          <w:rFonts w:hint="eastAsia" w:ascii="仿宋_GB2312" w:hAnsi="仿宋_GB2312" w:eastAsia="仿宋_GB2312" w:cs="仿宋_GB2312"/>
          <w:sz w:val="32"/>
          <w:szCs w:val="32"/>
          <w:lang w:val="en-US" w:eastAsia="zh-CN"/>
        </w:rPr>
        <w:t>经新区组织人事和社会保障局审批同意，企业自行组织到外地（东源县，源城区除外）进行线下招聘的，每个企业补贴2000元/场次。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auto"/>
          <w:sz w:val="32"/>
          <w:szCs w:val="32"/>
        </w:rPr>
        <w:t>三是</w:t>
      </w:r>
      <w:r>
        <w:rPr>
          <w:rFonts w:hint="eastAsia" w:ascii="仿宋_GB2312" w:hAnsi="仿宋_GB2312" w:eastAsia="仿宋_GB2312" w:cs="仿宋_GB2312"/>
          <w:color w:val="auto"/>
          <w:sz w:val="32"/>
          <w:szCs w:val="32"/>
        </w:rPr>
        <w:t>制定“点对点”接返员工交通补贴政策，鼓励规上企业员工快速安全返岗，</w:t>
      </w:r>
      <w:r>
        <w:rPr>
          <w:rFonts w:hint="eastAsia" w:ascii="仿宋_GB2312" w:hAnsi="仿宋_GB2312" w:eastAsia="仿宋_GB2312" w:cs="仿宋_GB2312"/>
          <w:b w:val="0"/>
          <w:bCs w:val="0"/>
          <w:color w:val="auto"/>
          <w:sz w:val="32"/>
          <w:szCs w:val="32"/>
        </w:rPr>
        <w:t>对规上企业2022年2月28日前租用（含合租）30座以上大巴车跨省组织“点对点”接员工返岗，符合条件的按包车费用的50%给予补贴，单个企业最高不超过10万元。</w:t>
      </w:r>
      <w:r>
        <w:rPr>
          <w:rFonts w:hint="eastAsia" w:ascii="仿宋_GB2312" w:hAnsi="仿宋_GB2312" w:eastAsia="仿宋_GB2312" w:cs="仿宋_GB2312"/>
          <w:sz w:val="32"/>
          <w:szCs w:val="32"/>
          <w:lang w:val="en-US" w:eastAsia="zh-CN"/>
        </w:rPr>
        <w:t>（牵头单位：新区组织人事和社会保障局）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第七条</w:t>
      </w:r>
      <w:r>
        <w:rPr>
          <w:rFonts w:hint="eastAsia" w:ascii="黑体" w:hAnsi="黑体" w:eastAsia="黑体" w:cs="黑体"/>
          <w:sz w:val="32"/>
          <w:szCs w:val="32"/>
          <w:lang w:val="en-US" w:eastAsia="zh-CN"/>
        </w:rPr>
        <w:t xml:space="preserve"> 企业</w:t>
      </w:r>
      <w:r>
        <w:rPr>
          <w:rFonts w:hint="eastAsia" w:ascii="黑体" w:hAnsi="黑体" w:eastAsia="黑体" w:cs="黑体"/>
          <w:sz w:val="32"/>
          <w:szCs w:val="32"/>
          <w:lang w:eastAsia="zh-CN"/>
        </w:rPr>
        <w:t>招工扶持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对积极协助企业解决招工难问题，帮助企业招用新员工，恢复生产的个人和人力资源服务机构，根据招工人数给予一次性奖励300元/人。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具体条件如下：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1.新员工指在新区工业企业新招聘后稳定就业3个月（含3个月）以上，且在新区新缴纳一项以上社会保险（入职前一年内未在新区缴纳过社会保险）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2.新员工只能有一名介绍人（含中介机构，由被介绍员工确定介绍者）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3.新员工1年内只能享受一次奖励，如离职后重新进入新区其他工业企业的，则不再给予奖励。（牵头单位：新区组织人事和社会保障局）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第八条</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援企稳岗扶持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深入实施《河源市人民政府关于印发河源市进一步稳定和扩大就业若干政策措施的通知》（河府〔2021〕48号），继续实施阶段性降低失业保险、工伤保险费政策至2022年4月30日，减轻企业负担，稳定就业岗位。（牵头单位：新区组织人事和社会保障局）</w:t>
      </w:r>
      <w:r>
        <w:rPr>
          <w:rFonts w:hint="eastAsia" w:ascii="仿宋" w:hAnsi="仿宋" w:eastAsia="仿宋" w:cs="仿宋"/>
          <w:sz w:val="32"/>
          <w:szCs w:val="32"/>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第九条  规范行政执法行为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管理、市场监管等部门依法履职时，要实行预先提醒、主动指导、限期纠正等措施，对中小企业轻微违规行为，严禁罚款了事，最大限度减少对中小企业生产经营活动的影响。（牵头单位：新区行政综合执法局、应急管理局、市市场监督管理局江东分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第十条  优化审批服务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新落地生产防控疫情所需物资的项目加快审批，各部门围绕防控物资和配套部件、材料项目生产建设、认证等方面，开辟一站式、全链条并行、48小时内办结的审批绿色通道，优先配置用地用水用电等资源型指标。（牵头单位：新区行政审批局、新区有审批权限的相关职能部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本政策申请指南和操作指引由牵头单位另行制定，适用期限为2022年2月1日至7月31日，期满后根据疫情情况另行研究。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河源江东新区管理委员会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2022年2月14日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创艺简标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5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6A646A"/>
    <w:rsid w:val="13F261EC"/>
    <w:rsid w:val="1EF620A3"/>
    <w:rsid w:val="4A6A646A"/>
    <w:rsid w:val="59873C09"/>
    <w:rsid w:val="5C7B21E6"/>
    <w:rsid w:val="5CF442C0"/>
    <w:rsid w:val="6CDB7E78"/>
    <w:rsid w:val="7E1B2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rFonts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2022-02-14T00:52:00Z</dcterms:created>
  <dc:creator>Chanon</dc:creator>
  <cp:lastModifiedBy>灰皮蛋</cp:lastModifiedBy>
  <cp:lastPrinted>2022-02-18T01:33:00Z</cp:lastPrinted>
  <dcterms:modified xsi:type="dcterms:W3CDTF">2022-02-28T09:12:29Z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6EB5E230426F460585CE4AD8053D7DDF</vt:lpwstr>
  </property>
</Properties>
</file>