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pPr>
      <w:bookmarkStart w:id="0" w:name="_Toc3530"/>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河源市</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G205国道</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东移</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项目江东新区</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临江</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段</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土地房屋征收</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工作方案</w:t>
      </w:r>
      <w:bookmarkEnd w:id="0"/>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征求意见稿</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w:t>
      </w:r>
    </w:p>
    <w:p>
      <w:pPr>
        <w:jc w:val="left"/>
        <w:rPr>
          <w:rFonts w:hint="eastAsia"/>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国道G205改线项目是我市未来发展的“大动脉”，为保障G205国道项目的用地供给，如期推进项目建设，江东新区管委会决定实施征收G205国道东移项目江东新区临江段的集体土地。为确保项目土地房屋征收工作有序组织进行，结合新区实际，制定本方案。</w:t>
      </w:r>
    </w:p>
    <w:p>
      <w:pPr>
        <w:keepNext w:val="0"/>
        <w:keepLines w:val="0"/>
        <w:pageBreakBefore w:val="0"/>
        <w:widowControl w:val="0"/>
        <w:numPr>
          <w:ilvl w:val="0"/>
          <w:numId w:val="1"/>
        </w:numPr>
        <w:kinsoku/>
        <w:wordWrap/>
        <w:overflowPunct/>
        <w:topLinePunct w:val="0"/>
        <w:autoSpaceDE/>
        <w:autoSpaceDN/>
        <w:bidi w:val="0"/>
        <w:adjustRightInd/>
        <w:snapToGrid/>
        <w:ind w:firstLine="640" w:firstLineChars="200"/>
        <w:jc w:val="left"/>
        <w:textAlignment w:val="auto"/>
        <w:outlineLvl w:val="0"/>
        <w:rPr>
          <w:rFonts w:hint="eastAsia" w:ascii="黑体" w:hAnsi="黑体" w:eastAsia="黑体" w:cs="黑体"/>
          <w:color w:val="000000" w:themeColor="text1"/>
          <w:sz w:val="32"/>
          <w:szCs w:val="32"/>
          <w:lang w:val="en-US" w:eastAsia="zh-CN"/>
          <w14:textFill>
            <w14:solidFill>
              <w14:schemeClr w14:val="tx1"/>
            </w14:solidFill>
          </w14:textFill>
        </w:rPr>
      </w:pPr>
      <w:bookmarkStart w:id="1" w:name="_Toc12640"/>
      <w:r>
        <w:rPr>
          <w:rFonts w:hint="eastAsia" w:ascii="黑体" w:hAnsi="黑体" w:eastAsia="黑体" w:cs="黑体"/>
          <w:color w:val="000000" w:themeColor="text1"/>
          <w:sz w:val="32"/>
          <w:szCs w:val="32"/>
          <w:lang w:val="en-US" w:eastAsia="zh-CN"/>
          <w14:textFill>
            <w14:solidFill>
              <w14:schemeClr w14:val="tx1"/>
            </w14:solidFill>
          </w14:textFill>
        </w:rPr>
        <w:t>组织领导</w:t>
      </w:r>
      <w:bookmarkEnd w:id="1"/>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成立河源市G205国道东移项目江东新区临江段土地房屋征收工作领导小组，其组成人员如下：</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组      长：朱永生（新区党委副书记、管委会主任）</w:t>
      </w:r>
    </w:p>
    <w:p>
      <w:pPr>
        <w:keepNext w:val="0"/>
        <w:keepLines w:val="0"/>
        <w:pageBreakBefore w:val="0"/>
        <w:widowControl w:val="0"/>
        <w:numPr>
          <w:ilvl w:val="0"/>
          <w:numId w:val="0"/>
        </w:numPr>
        <w:kinsoku/>
        <w:wordWrap/>
        <w:overflowPunct/>
        <w:topLinePunct w:val="0"/>
        <w:autoSpaceDE/>
        <w:autoSpaceDN/>
        <w:bidi w:val="0"/>
        <w:adjustRightInd/>
        <w:snapToGrid/>
        <w:ind w:left="3838" w:leftChars="304" w:hanging="3200" w:hangingChars="10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副  组  长：袁作平（新区党委委员、管委会副主任、市公安局江东分局局长）</w:t>
      </w:r>
    </w:p>
    <w:p>
      <w:pPr>
        <w:keepNext w:val="0"/>
        <w:keepLines w:val="0"/>
        <w:pageBreakBefore w:val="0"/>
        <w:widowControl w:val="0"/>
        <w:numPr>
          <w:ilvl w:val="0"/>
          <w:numId w:val="0"/>
        </w:numPr>
        <w:kinsoku/>
        <w:wordWrap/>
        <w:overflowPunct/>
        <w:topLinePunct w:val="0"/>
        <w:autoSpaceDE/>
        <w:autoSpaceDN/>
        <w:bidi w:val="0"/>
        <w:adjustRightInd/>
        <w:snapToGrid/>
        <w:ind w:left="638" w:leftChars="304" w:firstLine="1920" w:firstLineChars="6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黄志辉（新区党委委员、管委会副主任）</w:t>
      </w:r>
    </w:p>
    <w:p>
      <w:pPr>
        <w:keepNext w:val="0"/>
        <w:keepLines w:val="0"/>
        <w:pageBreakBefore w:val="0"/>
        <w:widowControl w:val="0"/>
        <w:numPr>
          <w:ilvl w:val="0"/>
          <w:numId w:val="0"/>
        </w:numPr>
        <w:kinsoku/>
        <w:wordWrap/>
        <w:overflowPunct/>
        <w:topLinePunct w:val="0"/>
        <w:autoSpaceDE/>
        <w:autoSpaceDN/>
        <w:bidi w:val="0"/>
        <w:adjustRightInd/>
        <w:snapToGrid/>
        <w:ind w:left="638" w:leftChars="304" w:firstLine="1920" w:firstLineChars="6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丘云飞（新区党委委员、管委会总经济师）</w:t>
      </w:r>
      <w:r>
        <w:rPr>
          <w:rFonts w:hint="eastAsia" w:ascii="仿宋_GB2312" w:hAnsi="仿宋_GB2312" w:eastAsia="仿宋_GB2312" w:cs="仿宋_GB2312"/>
          <w:color w:val="000000" w:themeColor="text1"/>
          <w:spacing w:val="40"/>
          <w:sz w:val="32"/>
          <w:szCs w:val="32"/>
          <w:lang w:val="en-US" w:eastAsia="zh-CN"/>
          <w14:textFill>
            <w14:solidFill>
              <w14:schemeClr w14:val="tx1"/>
            </w14:solidFill>
          </w14:textFill>
        </w:rPr>
        <w:t>执行组长</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疏  纲（新区党委委员、管委会副主任）</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执行副组长：温远良（临江镇党委书记）</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      员：朱显光（新区党政办公室主任）</w:t>
      </w:r>
    </w:p>
    <w:p>
      <w:pPr>
        <w:keepNext w:val="0"/>
        <w:keepLines w:val="0"/>
        <w:pageBreakBefore w:val="0"/>
        <w:widowControl w:val="0"/>
        <w:kinsoku/>
        <w:wordWrap/>
        <w:overflowPunct/>
        <w:topLinePunct w:val="0"/>
        <w:autoSpaceDE/>
        <w:autoSpaceDN/>
        <w:bidi w:val="0"/>
        <w:adjustRightInd/>
        <w:snapToGrid/>
        <w:ind w:firstLine="2560" w:firstLineChars="8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eastAsia="仿宋_GB2312"/>
          <w:sz w:val="32"/>
          <w:szCs w:val="32"/>
        </w:rPr>
        <w:t>陈俊辉（</w:t>
      </w:r>
      <w:r>
        <w:rPr>
          <w:rFonts w:hint="eastAsia" w:ascii="仿宋_GB2312" w:eastAsia="仿宋_GB2312"/>
          <w:sz w:val="32"/>
          <w:szCs w:val="32"/>
          <w:lang w:val="en-US" w:eastAsia="zh-CN"/>
        </w:rPr>
        <w:t>临江镇</w:t>
      </w:r>
      <w:r>
        <w:rPr>
          <w:rFonts w:hint="eastAsia" w:ascii="仿宋_GB2312" w:eastAsia="仿宋_GB2312"/>
          <w:sz w:val="32"/>
          <w:szCs w:val="32"/>
        </w:rPr>
        <w:t>党委副书记、镇长）</w:t>
      </w:r>
    </w:p>
    <w:p>
      <w:pPr>
        <w:keepNext w:val="0"/>
        <w:keepLines w:val="0"/>
        <w:pageBreakBefore w:val="0"/>
        <w:widowControl w:val="0"/>
        <w:kinsoku/>
        <w:wordWrap/>
        <w:overflowPunct/>
        <w:topLinePunct w:val="0"/>
        <w:autoSpaceDE/>
        <w:autoSpaceDN/>
        <w:bidi w:val="0"/>
        <w:adjustRightInd/>
        <w:snapToGrid/>
        <w:ind w:firstLine="2560" w:firstLineChars="8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赖紫辉（新区发展财政局局长）</w:t>
      </w:r>
    </w:p>
    <w:p>
      <w:pPr>
        <w:keepNext w:val="0"/>
        <w:keepLines w:val="0"/>
        <w:pageBreakBefore w:val="0"/>
        <w:widowControl w:val="0"/>
        <w:kinsoku/>
        <w:wordWrap/>
        <w:overflowPunct/>
        <w:topLinePunct w:val="0"/>
        <w:autoSpaceDE/>
        <w:autoSpaceDN/>
        <w:bidi w:val="0"/>
        <w:adjustRightInd/>
        <w:snapToGrid/>
        <w:ind w:firstLine="2560" w:firstLineChars="8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贺超雄（新区社会事务局局长）</w:t>
      </w:r>
    </w:p>
    <w:p>
      <w:pPr>
        <w:keepNext w:val="0"/>
        <w:keepLines w:val="0"/>
        <w:pageBreakBefore w:val="0"/>
        <w:widowControl w:val="0"/>
        <w:kinsoku/>
        <w:wordWrap/>
        <w:overflowPunct/>
        <w:topLinePunct w:val="0"/>
        <w:autoSpaceDE/>
        <w:autoSpaceDN/>
        <w:bidi w:val="0"/>
        <w:adjustRightInd/>
        <w:snapToGrid/>
        <w:ind w:firstLine="2240" w:firstLineChars="7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王建林（新区自然资源和城乡建设局局长）</w:t>
      </w:r>
    </w:p>
    <w:p>
      <w:pPr>
        <w:keepNext w:val="0"/>
        <w:keepLines w:val="0"/>
        <w:pageBreakBefore w:val="0"/>
        <w:widowControl w:val="0"/>
        <w:kinsoku/>
        <w:wordWrap/>
        <w:overflowPunct/>
        <w:topLinePunct w:val="0"/>
        <w:autoSpaceDE/>
        <w:autoSpaceDN/>
        <w:bidi w:val="0"/>
        <w:adjustRightInd/>
        <w:snapToGrid/>
        <w:ind w:firstLine="2240" w:firstLineChars="7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钟  坚（新区农林水务局局长）</w:t>
      </w:r>
    </w:p>
    <w:p>
      <w:pPr>
        <w:keepNext w:val="0"/>
        <w:keepLines w:val="0"/>
        <w:pageBreakBefore w:val="0"/>
        <w:widowControl w:val="0"/>
        <w:kinsoku/>
        <w:wordWrap/>
        <w:overflowPunct/>
        <w:topLinePunct w:val="0"/>
        <w:autoSpaceDE/>
        <w:autoSpaceDN/>
        <w:bidi w:val="0"/>
        <w:adjustRightInd/>
        <w:snapToGrid/>
        <w:ind w:firstLine="2240" w:firstLineChars="7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邹伟东（新区行政综合执法局局长）</w:t>
      </w:r>
    </w:p>
    <w:p>
      <w:pPr>
        <w:keepNext w:val="0"/>
        <w:keepLines w:val="0"/>
        <w:pageBreakBefore w:val="0"/>
        <w:widowControl w:val="0"/>
        <w:kinsoku/>
        <w:wordWrap/>
        <w:overflowPunct/>
        <w:topLinePunct w:val="0"/>
        <w:autoSpaceDE/>
        <w:autoSpaceDN/>
        <w:bidi w:val="0"/>
        <w:adjustRightInd/>
        <w:snapToGrid/>
        <w:ind w:left="3514" w:leftChars="1064" w:hanging="1280" w:hangingChars="4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郭俊芳（新区自然资源和城乡建设局一级主任科员）</w:t>
      </w:r>
    </w:p>
    <w:p>
      <w:pPr>
        <w:keepNext w:val="0"/>
        <w:keepLines w:val="0"/>
        <w:pageBreakBefore w:val="0"/>
        <w:widowControl w:val="0"/>
        <w:kinsoku/>
        <w:wordWrap/>
        <w:overflowPunct/>
        <w:topLinePunct w:val="0"/>
        <w:autoSpaceDE/>
        <w:autoSpaceDN/>
        <w:bidi w:val="0"/>
        <w:adjustRightInd/>
        <w:snapToGrid/>
        <w:ind w:left="3514" w:leftChars="1064" w:hanging="1280" w:hangingChars="4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张惠庭（市公安局江东分局副局长、临江派出所负责人）</w:t>
      </w:r>
    </w:p>
    <w:p>
      <w:pPr>
        <w:keepNext w:val="0"/>
        <w:keepLines w:val="0"/>
        <w:pageBreakBefore w:val="0"/>
        <w:widowControl w:val="0"/>
        <w:kinsoku/>
        <w:wordWrap/>
        <w:overflowPunct/>
        <w:topLinePunct w:val="0"/>
        <w:autoSpaceDE/>
        <w:autoSpaceDN/>
        <w:bidi w:val="0"/>
        <w:adjustRightInd/>
        <w:snapToGrid/>
        <w:ind w:firstLine="2240" w:firstLineChars="7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黄远君（新区政法工作办公室专职副主任）</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领导小组</w:t>
      </w:r>
      <w:r>
        <w:rPr>
          <w:rFonts w:hint="eastAsia" w:ascii="仿宋_GB2312" w:eastAsia="仿宋_GB2312"/>
          <w:color w:val="000000" w:themeColor="text1"/>
          <w:sz w:val="32"/>
          <w:szCs w:val="32"/>
          <w14:textFill>
            <w14:solidFill>
              <w14:schemeClr w14:val="tx1"/>
            </w14:solidFill>
          </w14:textFill>
        </w:rPr>
        <w:t>下设</w:t>
      </w:r>
      <w:r>
        <w:rPr>
          <w:rFonts w:hint="eastAsia" w:ascii="仿宋_GB2312" w:eastAsia="仿宋_GB2312"/>
          <w:color w:val="000000" w:themeColor="text1"/>
          <w:sz w:val="32"/>
          <w:szCs w:val="32"/>
          <w:lang w:val="en-US" w:eastAsia="zh-CN"/>
          <w14:textFill>
            <w14:solidFill>
              <w14:schemeClr w14:val="tx1"/>
            </w14:solidFill>
          </w14:textFill>
        </w:rPr>
        <w:t>指挥部，由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新区党委委员、管委会副主任疏纲任总指挥，临江镇党委书记温远良任副总指挥，成员由陈辉俊、赖紫辉、王建林、郭俊芳、李碧辉等同志组成，指挥部下设</w:t>
      </w:r>
      <w:r>
        <w:rPr>
          <w:rFonts w:hint="eastAsia" w:ascii="仿宋_GB2312" w:eastAsia="仿宋_GB2312"/>
          <w:color w:val="000000" w:themeColor="text1"/>
          <w:sz w:val="32"/>
          <w:szCs w:val="32"/>
          <w14:textFill>
            <w14:solidFill>
              <w14:schemeClr w14:val="tx1"/>
            </w14:solidFill>
          </w14:textFill>
        </w:rPr>
        <w:t>综合协调组、思想工作组，业务组，维稳治安防控组、历史遗留问题处理组、建筑物类别界定工作组、国有土地房屋处置组等7个工作组。各工作组职责如下:</w:t>
      </w:r>
    </w:p>
    <w:p>
      <w:pPr>
        <w:spacing w:line="600" w:lineRule="exact"/>
        <w:ind w:firstLine="640" w:firstLineChars="200"/>
        <w:jc w:val="left"/>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highlight w:val="none"/>
          <w14:textFill>
            <w14:solidFill>
              <w14:schemeClr w14:val="tx1"/>
            </w14:solidFill>
          </w14:textFill>
        </w:rPr>
        <w:t>(</w:t>
      </w:r>
      <w:r>
        <w:rPr>
          <w:rFonts w:hint="eastAsia" w:ascii="楷体" w:hAnsi="楷体" w:eastAsia="楷体" w:cs="楷体"/>
          <w:color w:val="000000" w:themeColor="text1"/>
          <w:sz w:val="32"/>
          <w:szCs w:val="32"/>
          <w14:textFill>
            <w14:solidFill>
              <w14:schemeClr w14:val="tx1"/>
            </w14:solidFill>
          </w14:textFill>
        </w:rPr>
        <w:t>一</w:t>
      </w:r>
      <w:r>
        <w:rPr>
          <w:rFonts w:hint="eastAsia" w:ascii="楷体" w:hAnsi="楷体" w:eastAsia="楷体" w:cs="楷体"/>
          <w:color w:val="000000" w:themeColor="text1"/>
          <w:sz w:val="32"/>
          <w:szCs w:val="32"/>
          <w:highlight w:val="none"/>
          <w14:textFill>
            <w14:solidFill>
              <w14:schemeClr w14:val="tx1"/>
            </w14:solidFill>
          </w14:textFill>
        </w:rPr>
        <w:t>)</w:t>
      </w:r>
      <w:r>
        <w:rPr>
          <w:rFonts w:hint="eastAsia" w:ascii="楷体" w:hAnsi="楷体" w:eastAsia="楷体" w:cs="楷体"/>
          <w:color w:val="000000" w:themeColor="text1"/>
          <w:sz w:val="32"/>
          <w:szCs w:val="32"/>
          <w14:textFill>
            <w14:solidFill>
              <w14:schemeClr w14:val="tx1"/>
            </w14:solidFill>
          </w14:textFill>
        </w:rPr>
        <w:t>综合协调组</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负责项目土地房屋征收工作统筹安排和日常工作的管理及后勤、协调，负责检查项目依法行政、法定程序等执行情况收集及统计数据资料，定期要做好征收工作进度等信息的收集下达与上报等工作。</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组  长:陈俊辉</w:t>
      </w:r>
    </w:p>
    <w:p>
      <w:pPr>
        <w:spacing w:line="600" w:lineRule="exact"/>
        <w:ind w:firstLine="640" w:firstLineChars="200"/>
        <w:jc w:val="left"/>
        <w:rPr>
          <w:rFonts w:hint="eastAsia" w:ascii="仿宋_GB2312" w:eastAsia="仿宋_GB2312"/>
          <w:sz w:val="32"/>
          <w:szCs w:val="32"/>
        </w:rPr>
      </w:pPr>
      <w:r>
        <w:rPr>
          <w:rFonts w:hint="eastAsia" w:ascii="仿宋_GB2312" w:eastAsia="仿宋_GB2312"/>
          <w:sz w:val="32"/>
          <w:szCs w:val="32"/>
        </w:rPr>
        <w:t>副组长:叶志强、陈汉和</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成员由新区管委会有关部门</w:t>
      </w:r>
      <w:r>
        <w:rPr>
          <w:rFonts w:hint="eastAsia" w:ascii="仿宋_GB2312" w:eastAsia="仿宋_GB2312"/>
          <w:color w:val="000000" w:themeColor="text1"/>
          <w:sz w:val="32"/>
          <w:szCs w:val="32"/>
          <w:lang w:val="en-US" w:eastAsia="zh-CN"/>
          <w14:textFill>
            <w14:solidFill>
              <w14:schemeClr w14:val="tx1"/>
            </w14:solidFill>
          </w14:textFill>
        </w:rPr>
        <w:t>和</w:t>
      </w:r>
      <w:r>
        <w:rPr>
          <w:rFonts w:hint="eastAsia" w:ascii="仿宋_GB2312" w:eastAsia="仿宋_GB2312"/>
          <w:color w:val="000000" w:themeColor="text1"/>
          <w:sz w:val="32"/>
          <w:szCs w:val="32"/>
          <w14:textFill>
            <w14:solidFill>
              <w14:schemeClr w14:val="tx1"/>
            </w14:solidFill>
          </w14:textFill>
        </w:rPr>
        <w:t>临江镇人民政府抽调人员组成。</w:t>
      </w:r>
    </w:p>
    <w:p>
      <w:pPr>
        <w:spacing w:line="600" w:lineRule="exact"/>
        <w:ind w:firstLine="640" w:firstLineChars="200"/>
        <w:jc w:val="left"/>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highlight w:val="none"/>
          <w14:textFill>
            <w14:solidFill>
              <w14:schemeClr w14:val="tx1"/>
            </w14:solidFill>
          </w14:textFill>
        </w:rPr>
        <w:t>(</w:t>
      </w:r>
      <w:r>
        <w:rPr>
          <w:rFonts w:hint="eastAsia" w:ascii="楷体" w:hAnsi="楷体" w:eastAsia="楷体" w:cs="楷体"/>
          <w:color w:val="000000" w:themeColor="text1"/>
          <w:sz w:val="32"/>
          <w:szCs w:val="32"/>
          <w14:textFill>
            <w14:solidFill>
              <w14:schemeClr w14:val="tx1"/>
            </w14:solidFill>
          </w14:textFill>
        </w:rPr>
        <w:t>二</w:t>
      </w:r>
      <w:r>
        <w:rPr>
          <w:rFonts w:hint="eastAsia" w:ascii="楷体" w:hAnsi="楷体" w:eastAsia="楷体" w:cs="楷体"/>
          <w:color w:val="000000" w:themeColor="text1"/>
          <w:sz w:val="32"/>
          <w:szCs w:val="32"/>
          <w:highlight w:val="none"/>
          <w14:textFill>
            <w14:solidFill>
              <w14:schemeClr w14:val="tx1"/>
            </w14:solidFill>
          </w14:textFill>
        </w:rPr>
        <w:t>)</w:t>
      </w:r>
      <w:r>
        <w:rPr>
          <w:rFonts w:hint="eastAsia" w:ascii="楷体" w:hAnsi="楷体" w:eastAsia="楷体" w:cs="楷体"/>
          <w:color w:val="000000" w:themeColor="text1"/>
          <w:sz w:val="32"/>
          <w:szCs w:val="32"/>
          <w14:textFill>
            <w14:solidFill>
              <w14:schemeClr w14:val="tx1"/>
            </w14:solidFill>
          </w14:textFill>
        </w:rPr>
        <w:t>思想工作组</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负责项目实施的宣传发动工作，负责被征收农户的思想工作，负责宣传、宣教项目征收工作的法律法规以及奖励优惠政策，负责做通被征收人按政策法规，丈量、搬迁腾空等思想工作。</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组  长:温远良</w:t>
      </w:r>
    </w:p>
    <w:p>
      <w:pPr>
        <w:spacing w:line="600" w:lineRule="exact"/>
        <w:ind w:firstLine="640" w:firstLineChars="200"/>
        <w:jc w:val="left"/>
        <w:rPr>
          <w:rFonts w:hint="default" w:ascii="仿宋_GB2312" w:eastAsia="仿宋_GB2312"/>
          <w:sz w:val="32"/>
          <w:szCs w:val="32"/>
          <w:lang w:val="en-US" w:eastAsia="zh-CN"/>
        </w:rPr>
      </w:pPr>
      <w:r>
        <w:rPr>
          <w:rFonts w:hint="eastAsia" w:ascii="仿宋_GB2312" w:eastAsia="仿宋_GB2312"/>
          <w:sz w:val="32"/>
          <w:szCs w:val="32"/>
        </w:rPr>
        <w:t>副组长:陈俊辉、叶志强、陈汉和</w:t>
      </w:r>
      <w:r>
        <w:rPr>
          <w:rFonts w:hint="eastAsia" w:ascii="仿宋_GB2312" w:eastAsia="仿宋_GB2312"/>
          <w:sz w:val="32"/>
          <w:szCs w:val="32"/>
          <w:lang w:eastAsia="zh-CN"/>
        </w:rPr>
        <w:t>、</w:t>
      </w:r>
      <w:r>
        <w:rPr>
          <w:rFonts w:hint="eastAsia" w:ascii="仿宋_GB2312" w:eastAsia="仿宋_GB2312"/>
          <w:sz w:val="32"/>
          <w:szCs w:val="32"/>
          <w:lang w:val="en-US" w:eastAsia="zh-CN"/>
        </w:rPr>
        <w:t>邓鸿斌、邓伟锋</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成员由新区管委会有关部门</w:t>
      </w:r>
      <w:r>
        <w:rPr>
          <w:rFonts w:hint="eastAsia" w:ascii="仿宋_GB2312" w:eastAsia="仿宋_GB2312"/>
          <w:color w:val="000000" w:themeColor="text1"/>
          <w:sz w:val="32"/>
          <w:szCs w:val="32"/>
          <w:lang w:val="en-US" w:eastAsia="zh-CN"/>
          <w14:textFill>
            <w14:solidFill>
              <w14:schemeClr w14:val="tx1"/>
            </w14:solidFill>
          </w14:textFill>
        </w:rPr>
        <w:t>和</w:t>
      </w:r>
      <w:r>
        <w:rPr>
          <w:rFonts w:hint="eastAsia" w:ascii="仿宋_GB2312" w:eastAsia="仿宋_GB2312"/>
          <w:color w:val="000000" w:themeColor="text1"/>
          <w:sz w:val="32"/>
          <w:szCs w:val="32"/>
          <w14:textFill>
            <w14:solidFill>
              <w14:schemeClr w14:val="tx1"/>
            </w14:solidFill>
          </w14:textFill>
        </w:rPr>
        <w:t>临江镇人民政府抽调工作人员组成</w:t>
      </w:r>
      <w:r>
        <w:rPr>
          <w:rFonts w:hint="eastAsia" w:ascii="仿宋_GB2312" w:eastAsia="仿宋_GB2312"/>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可按分片、分类包干的形式组成若干个工作小组</w:t>
      </w:r>
      <w:r>
        <w:rPr>
          <w:rFonts w:hint="eastAsia" w:ascii="仿宋_GB2312" w:eastAsia="仿宋_GB2312"/>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w:t>
      </w:r>
    </w:p>
    <w:p>
      <w:pPr>
        <w:spacing w:line="600" w:lineRule="exact"/>
        <w:ind w:firstLine="640" w:firstLineChars="200"/>
        <w:jc w:val="left"/>
        <w:outlineLvl w:val="0"/>
        <w:rPr>
          <w:rFonts w:hint="eastAsia" w:ascii="楷体" w:hAnsi="楷体" w:eastAsia="楷体" w:cs="楷体"/>
          <w:color w:val="000000" w:themeColor="text1"/>
          <w:sz w:val="32"/>
          <w:szCs w:val="32"/>
          <w14:textFill>
            <w14:solidFill>
              <w14:schemeClr w14:val="tx1"/>
            </w14:solidFill>
          </w14:textFill>
        </w:rPr>
      </w:pPr>
      <w:bookmarkStart w:id="2" w:name="_Toc5853"/>
      <w:r>
        <w:rPr>
          <w:rFonts w:hint="eastAsia" w:ascii="楷体" w:hAnsi="楷体" w:eastAsia="楷体" w:cs="楷体"/>
          <w:color w:val="000000" w:themeColor="text1"/>
          <w:sz w:val="32"/>
          <w:szCs w:val="32"/>
          <w14:textFill>
            <w14:solidFill>
              <w14:schemeClr w14:val="tx1"/>
            </w14:solidFill>
          </w14:textFill>
        </w:rPr>
        <w:t>（三）业务组</w:t>
      </w:r>
      <w:bookmarkEnd w:id="2"/>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具体负责项目土地和房屋征收补偿及安置等各项征收业务。</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组  长:温远良</w:t>
      </w:r>
    </w:p>
    <w:p>
      <w:pPr>
        <w:spacing w:line="6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副组长:陈俊辉、叶志强、陈汉和、</w:t>
      </w:r>
      <w:r>
        <w:rPr>
          <w:rFonts w:hint="eastAsia" w:ascii="仿宋_GB2312" w:eastAsia="仿宋_GB2312"/>
          <w:sz w:val="32"/>
          <w:szCs w:val="32"/>
          <w:lang w:val="en-US" w:eastAsia="zh-CN"/>
        </w:rPr>
        <w:t>邓鸿斌、邓伟锋</w:t>
      </w:r>
      <w:r>
        <w:rPr>
          <w:rFonts w:hint="eastAsia" w:ascii="仿宋_GB2312" w:eastAsia="仿宋_GB2312"/>
          <w:sz w:val="32"/>
          <w:szCs w:val="32"/>
        </w:rPr>
        <w:t>、郭俊芳、</w:t>
      </w:r>
      <w:r>
        <w:rPr>
          <w:rFonts w:hint="eastAsia" w:ascii="仿宋_GB2312" w:eastAsia="仿宋_GB2312"/>
          <w:sz w:val="32"/>
          <w:szCs w:val="32"/>
          <w:lang w:val="en-US" w:eastAsia="zh-CN"/>
        </w:rPr>
        <w:t>李碧辉</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业务组下设土地、房屋征收业务组和迁坟业务组:</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1.土地、房屋征收业务组</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组长:陈俊辉</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副组长:叶志强、陈汉和、张浩</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成员由新区管委会有关职能部门</w:t>
      </w:r>
      <w:r>
        <w:rPr>
          <w:rFonts w:hint="eastAsia" w:ascii="仿宋_GB2312" w:eastAsia="仿宋_GB2312"/>
          <w:color w:val="000000" w:themeColor="text1"/>
          <w:sz w:val="32"/>
          <w:szCs w:val="32"/>
          <w:lang w:val="en-US" w:eastAsia="zh-CN"/>
          <w14:textFill>
            <w14:solidFill>
              <w14:schemeClr w14:val="tx1"/>
            </w14:solidFill>
          </w14:textFill>
        </w:rPr>
        <w:t>和</w:t>
      </w:r>
      <w:r>
        <w:rPr>
          <w:rFonts w:hint="eastAsia" w:ascii="仿宋_GB2312" w:eastAsia="仿宋_GB2312"/>
          <w:color w:val="000000" w:themeColor="text1"/>
          <w:sz w:val="32"/>
          <w:szCs w:val="32"/>
          <w14:textFill>
            <w14:solidFill>
              <w14:schemeClr w14:val="tx1"/>
            </w14:solidFill>
          </w14:textFill>
        </w:rPr>
        <w:t>临江镇人民政府抽调人员组成。</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具体负责项目土地、房屋的征收补偿工作，严格按政策做好土地、房屋征收的各项业务工作。每天要将丈量、签订协议的情况向综合协调组报送一次，各有关工作人员要将丈量表做好签名确认工作。</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2.迁坟业务组</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组  长:叶廷操</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副组长:</w:t>
      </w:r>
      <w:r>
        <w:rPr>
          <w:rFonts w:hint="eastAsia" w:ascii="仿宋_GB2312" w:eastAsia="仿宋_GB2312"/>
          <w:sz w:val="32"/>
          <w:szCs w:val="32"/>
          <w:lang w:val="en-US" w:eastAsia="zh-CN"/>
        </w:rPr>
        <w:t>钟仲禹、</w:t>
      </w:r>
      <w:r>
        <w:rPr>
          <w:rFonts w:hint="eastAsia" w:ascii="仿宋_GB2312" w:eastAsia="仿宋_GB2312"/>
          <w:sz w:val="32"/>
          <w:szCs w:val="32"/>
        </w:rPr>
        <w:t>邓光红</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成员由新区管委会有关职能部门</w:t>
      </w:r>
      <w:r>
        <w:rPr>
          <w:rFonts w:hint="eastAsia" w:ascii="仿宋_GB2312" w:eastAsia="仿宋_GB2312"/>
          <w:color w:val="000000" w:themeColor="text1"/>
          <w:sz w:val="32"/>
          <w:szCs w:val="32"/>
          <w:lang w:val="en-US" w:eastAsia="zh-CN"/>
          <w14:textFill>
            <w14:solidFill>
              <w14:schemeClr w14:val="tx1"/>
            </w14:solidFill>
          </w14:textFill>
        </w:rPr>
        <w:t>和</w:t>
      </w:r>
      <w:r>
        <w:rPr>
          <w:rFonts w:hint="eastAsia" w:ascii="仿宋_GB2312" w:eastAsia="仿宋_GB2312"/>
          <w:color w:val="000000" w:themeColor="text1"/>
          <w:sz w:val="32"/>
          <w:szCs w:val="32"/>
          <w14:textFill>
            <w14:solidFill>
              <w14:schemeClr w14:val="tx1"/>
            </w14:solidFill>
          </w14:textFill>
        </w:rPr>
        <w:t>临江镇人民政府抽调人员组成。</w:t>
      </w:r>
    </w:p>
    <w:p>
      <w:pPr>
        <w:spacing w:line="600" w:lineRule="exact"/>
        <w:ind w:firstLine="640" w:firstLineChars="200"/>
        <w:jc w:val="left"/>
        <w:outlineLvl w:val="0"/>
        <w:rPr>
          <w:rFonts w:hint="eastAsia" w:ascii="楷体" w:hAnsi="楷体" w:eastAsia="楷体" w:cs="楷体"/>
          <w:color w:val="000000" w:themeColor="text1"/>
          <w:sz w:val="32"/>
          <w:szCs w:val="32"/>
          <w14:textFill>
            <w14:solidFill>
              <w14:schemeClr w14:val="tx1"/>
            </w14:solidFill>
          </w14:textFill>
        </w:rPr>
      </w:pPr>
      <w:bookmarkStart w:id="3" w:name="_Toc12057"/>
      <w:r>
        <w:rPr>
          <w:rFonts w:hint="eastAsia" w:ascii="楷体" w:hAnsi="楷体" w:eastAsia="楷体" w:cs="楷体"/>
          <w:color w:val="000000" w:themeColor="text1"/>
          <w:sz w:val="32"/>
          <w:szCs w:val="32"/>
          <w:highlight w:val="none"/>
          <w14:textFill>
            <w14:solidFill>
              <w14:schemeClr w14:val="tx1"/>
            </w14:solidFill>
          </w14:textFill>
        </w:rPr>
        <w:t>(</w:t>
      </w:r>
      <w:r>
        <w:rPr>
          <w:rFonts w:hint="eastAsia" w:ascii="楷体" w:hAnsi="楷体" w:eastAsia="楷体" w:cs="楷体"/>
          <w:color w:val="000000" w:themeColor="text1"/>
          <w:sz w:val="32"/>
          <w:szCs w:val="32"/>
          <w14:textFill>
            <w14:solidFill>
              <w14:schemeClr w14:val="tx1"/>
            </w14:solidFill>
          </w14:textFill>
        </w:rPr>
        <w:t>四</w:t>
      </w:r>
      <w:r>
        <w:rPr>
          <w:rFonts w:hint="eastAsia" w:ascii="楷体" w:hAnsi="楷体" w:eastAsia="楷体" w:cs="楷体"/>
          <w:color w:val="000000" w:themeColor="text1"/>
          <w:sz w:val="32"/>
          <w:szCs w:val="32"/>
          <w:highlight w:val="none"/>
          <w14:textFill>
            <w14:solidFill>
              <w14:schemeClr w14:val="tx1"/>
            </w14:solidFill>
          </w14:textFill>
        </w:rPr>
        <w:t>)</w:t>
      </w:r>
      <w:r>
        <w:rPr>
          <w:rFonts w:hint="eastAsia" w:ascii="楷体" w:hAnsi="楷体" w:eastAsia="楷体" w:cs="楷体"/>
          <w:color w:val="000000" w:themeColor="text1"/>
          <w:sz w:val="32"/>
          <w:szCs w:val="32"/>
          <w14:textFill>
            <w14:solidFill>
              <w14:schemeClr w14:val="tx1"/>
            </w14:solidFill>
          </w14:textFill>
        </w:rPr>
        <w:t>维稳治安防控组</w:t>
      </w:r>
      <w:bookmarkEnd w:id="3"/>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负责防控项目实施过程中可能产生</w:t>
      </w:r>
      <w:r>
        <w:rPr>
          <w:rFonts w:hint="eastAsia" w:ascii="仿宋_GB2312" w:eastAsia="仿宋_GB2312"/>
          <w:color w:val="000000" w:themeColor="text1"/>
          <w:sz w:val="32"/>
          <w:szCs w:val="32"/>
          <w:highlight w:val="none"/>
          <w14:textFill>
            <w14:solidFill>
              <w14:schemeClr w14:val="tx1"/>
            </w14:solidFill>
          </w14:textFill>
        </w:rPr>
        <w:t>的风险</w:t>
      </w:r>
      <w:r>
        <w:rPr>
          <w:rFonts w:hint="eastAsia" w:ascii="仿宋_GB2312" w:eastAsia="仿宋_GB2312"/>
          <w:color w:val="000000" w:themeColor="text1"/>
          <w:sz w:val="32"/>
          <w:szCs w:val="32"/>
          <w14:textFill>
            <w14:solidFill>
              <w14:schemeClr w14:val="tx1"/>
            </w14:solidFill>
          </w14:textFill>
        </w:rPr>
        <w:t>、做好项目推进中治安维稳及防控工作。</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组  长:</w:t>
      </w:r>
      <w:r>
        <w:rPr>
          <w:rFonts w:hint="eastAsia" w:ascii="仿宋_GB2312" w:eastAsia="仿宋_GB2312"/>
          <w:sz w:val="32"/>
          <w:szCs w:val="32"/>
        </w:rPr>
        <w:t>叶志强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副组长:张惠庭、李坤</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成员由</w:t>
      </w:r>
      <w:r>
        <w:rPr>
          <w:rFonts w:hint="eastAsia" w:ascii="仿宋_GB2312" w:eastAsia="仿宋_GB2312"/>
          <w:color w:val="000000" w:themeColor="text1"/>
          <w:sz w:val="32"/>
          <w:szCs w:val="32"/>
          <w:lang w:val="en-US" w:eastAsia="zh-CN"/>
          <w14:textFill>
            <w14:solidFill>
              <w14:schemeClr w14:val="tx1"/>
            </w14:solidFill>
          </w14:textFill>
        </w:rPr>
        <w:t>市公安局江东分局</w:t>
      </w:r>
      <w:r>
        <w:rPr>
          <w:rFonts w:hint="eastAsia" w:ascii="仿宋_GB2312" w:eastAsia="仿宋_GB2312"/>
          <w:color w:val="000000" w:themeColor="text1"/>
          <w:sz w:val="32"/>
          <w:szCs w:val="32"/>
          <w14:textFill>
            <w14:solidFill>
              <w14:schemeClr w14:val="tx1"/>
            </w14:solidFill>
          </w14:textFill>
        </w:rPr>
        <w:t>、新区行政综合执法局</w:t>
      </w:r>
      <w:r>
        <w:rPr>
          <w:rFonts w:hint="eastAsia" w:ascii="仿宋_GB2312" w:eastAsia="仿宋_GB2312"/>
          <w:color w:val="000000" w:themeColor="text1"/>
          <w:sz w:val="32"/>
          <w:szCs w:val="32"/>
          <w:lang w:val="en-US" w:eastAsia="zh-CN"/>
          <w14:textFill>
            <w14:solidFill>
              <w14:schemeClr w14:val="tx1"/>
            </w14:solidFill>
          </w14:textFill>
        </w:rPr>
        <w:t>和</w:t>
      </w:r>
      <w:r>
        <w:rPr>
          <w:rFonts w:hint="eastAsia" w:ascii="仿宋_GB2312" w:eastAsia="仿宋_GB2312"/>
          <w:color w:val="000000" w:themeColor="text1"/>
          <w:sz w:val="32"/>
          <w:szCs w:val="32"/>
          <w14:textFill>
            <w14:solidFill>
              <w14:schemeClr w14:val="tx1"/>
            </w14:solidFill>
          </w14:textFill>
        </w:rPr>
        <w:t>临江镇人民政府抽调人员组成。</w:t>
      </w:r>
    </w:p>
    <w:p>
      <w:pPr>
        <w:spacing w:line="600" w:lineRule="exact"/>
        <w:ind w:firstLine="640" w:firstLineChars="200"/>
        <w:jc w:val="left"/>
        <w:outlineLvl w:val="0"/>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 xml:space="preserve"> </w:t>
      </w:r>
      <w:bookmarkStart w:id="4" w:name="_Toc8192"/>
      <w:r>
        <w:rPr>
          <w:rFonts w:hint="eastAsia" w:ascii="楷体" w:hAnsi="楷体" w:eastAsia="楷体" w:cs="楷体"/>
          <w:color w:val="000000" w:themeColor="text1"/>
          <w:sz w:val="32"/>
          <w:szCs w:val="32"/>
          <w:highlight w:val="none"/>
          <w14:textFill>
            <w14:solidFill>
              <w14:schemeClr w14:val="tx1"/>
            </w14:solidFill>
          </w14:textFill>
        </w:rPr>
        <w:t>(</w:t>
      </w:r>
      <w:r>
        <w:rPr>
          <w:rFonts w:hint="eastAsia" w:ascii="楷体" w:hAnsi="楷体" w:eastAsia="楷体" w:cs="楷体"/>
          <w:color w:val="000000" w:themeColor="text1"/>
          <w:sz w:val="32"/>
          <w:szCs w:val="32"/>
          <w14:textFill>
            <w14:solidFill>
              <w14:schemeClr w14:val="tx1"/>
            </w14:solidFill>
          </w14:textFill>
        </w:rPr>
        <w:t>五</w:t>
      </w:r>
      <w:r>
        <w:rPr>
          <w:rFonts w:hint="eastAsia" w:ascii="楷体" w:hAnsi="楷体" w:eastAsia="楷体" w:cs="楷体"/>
          <w:color w:val="000000" w:themeColor="text1"/>
          <w:sz w:val="32"/>
          <w:szCs w:val="32"/>
          <w:highlight w:val="none"/>
          <w14:textFill>
            <w14:solidFill>
              <w14:schemeClr w14:val="tx1"/>
            </w14:solidFill>
          </w14:textFill>
        </w:rPr>
        <w:t>)</w:t>
      </w:r>
      <w:r>
        <w:rPr>
          <w:rFonts w:hint="eastAsia" w:ascii="楷体" w:hAnsi="楷体" w:eastAsia="楷体" w:cs="楷体"/>
          <w:color w:val="000000" w:themeColor="text1"/>
          <w:sz w:val="32"/>
          <w:szCs w:val="32"/>
          <w14:textFill>
            <w14:solidFill>
              <w14:schemeClr w14:val="tx1"/>
            </w14:solidFill>
          </w14:textFill>
        </w:rPr>
        <w:t>历史遗留问题处理组</w:t>
      </w:r>
      <w:bookmarkEnd w:id="4"/>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负责区域内土地房屋征收遗留问题的调查处理工作。组成人员如下:</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组  长:温远良</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副组长:叶志强、</w:t>
      </w:r>
      <w:r>
        <w:rPr>
          <w:rFonts w:hint="eastAsia" w:ascii="仿宋_GB2312" w:eastAsia="仿宋_GB2312"/>
          <w:sz w:val="32"/>
          <w:szCs w:val="32"/>
          <w:lang w:val="en-US" w:eastAsia="zh-CN"/>
        </w:rPr>
        <w:t>凌利恩、</w:t>
      </w:r>
      <w:r>
        <w:rPr>
          <w:rFonts w:hint="eastAsia" w:ascii="仿宋_GB2312" w:eastAsia="仿宋_GB2312"/>
          <w:sz w:val="32"/>
          <w:szCs w:val="32"/>
        </w:rPr>
        <w:t>郭俊芳</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成员由新区管委会有关职能部门</w:t>
      </w:r>
      <w:r>
        <w:rPr>
          <w:rFonts w:hint="eastAsia" w:ascii="仿宋_GB2312" w:eastAsia="仿宋_GB2312"/>
          <w:color w:val="000000" w:themeColor="text1"/>
          <w:sz w:val="32"/>
          <w:szCs w:val="32"/>
          <w:lang w:val="en-US" w:eastAsia="zh-CN"/>
          <w14:textFill>
            <w14:solidFill>
              <w14:schemeClr w14:val="tx1"/>
            </w14:solidFill>
          </w14:textFill>
        </w:rPr>
        <w:t>和</w:t>
      </w:r>
      <w:r>
        <w:rPr>
          <w:rFonts w:hint="eastAsia" w:ascii="仿宋_GB2312" w:eastAsia="仿宋_GB2312"/>
          <w:color w:val="000000" w:themeColor="text1"/>
          <w:sz w:val="32"/>
          <w:szCs w:val="32"/>
          <w14:textFill>
            <w14:solidFill>
              <w14:schemeClr w14:val="tx1"/>
            </w14:solidFill>
          </w14:textFill>
        </w:rPr>
        <w:t>临江镇人民政府抽调人员组成。</w:t>
      </w:r>
    </w:p>
    <w:p>
      <w:pPr>
        <w:spacing w:line="600" w:lineRule="exact"/>
        <w:ind w:firstLine="640" w:firstLineChars="200"/>
        <w:jc w:val="left"/>
        <w:outlineLvl w:val="0"/>
        <w:rPr>
          <w:rFonts w:hint="eastAsia" w:ascii="楷体" w:hAnsi="楷体" w:eastAsia="楷体" w:cs="楷体"/>
          <w:color w:val="000000" w:themeColor="text1"/>
          <w:sz w:val="32"/>
          <w:szCs w:val="32"/>
          <w14:textFill>
            <w14:solidFill>
              <w14:schemeClr w14:val="tx1"/>
            </w14:solidFill>
          </w14:textFill>
        </w:rPr>
      </w:pPr>
      <w:bookmarkStart w:id="5" w:name="_Toc9573"/>
      <w:r>
        <w:rPr>
          <w:rFonts w:hint="eastAsia" w:ascii="楷体" w:hAnsi="楷体" w:eastAsia="楷体" w:cs="楷体"/>
          <w:color w:val="000000" w:themeColor="text1"/>
          <w:sz w:val="32"/>
          <w:szCs w:val="32"/>
          <w:highlight w:val="none"/>
          <w14:textFill>
            <w14:solidFill>
              <w14:schemeClr w14:val="tx1"/>
            </w14:solidFill>
          </w14:textFill>
        </w:rPr>
        <w:t>(</w:t>
      </w:r>
      <w:r>
        <w:rPr>
          <w:rFonts w:hint="eastAsia" w:ascii="楷体" w:hAnsi="楷体" w:eastAsia="楷体" w:cs="楷体"/>
          <w:color w:val="000000" w:themeColor="text1"/>
          <w:sz w:val="32"/>
          <w:szCs w:val="32"/>
          <w14:textFill>
            <w14:solidFill>
              <w14:schemeClr w14:val="tx1"/>
            </w14:solidFill>
          </w14:textFill>
        </w:rPr>
        <w:t>六</w:t>
      </w:r>
      <w:r>
        <w:rPr>
          <w:rFonts w:hint="eastAsia" w:ascii="楷体" w:hAnsi="楷体" w:eastAsia="楷体" w:cs="楷体"/>
          <w:color w:val="000000" w:themeColor="text1"/>
          <w:sz w:val="32"/>
          <w:szCs w:val="32"/>
          <w:highlight w:val="none"/>
          <w14:textFill>
            <w14:solidFill>
              <w14:schemeClr w14:val="tx1"/>
            </w14:solidFill>
          </w14:textFill>
        </w:rPr>
        <w:t>)</w:t>
      </w:r>
      <w:r>
        <w:rPr>
          <w:rFonts w:hint="eastAsia" w:ascii="楷体" w:hAnsi="楷体" w:eastAsia="楷体" w:cs="楷体"/>
          <w:color w:val="000000" w:themeColor="text1"/>
          <w:sz w:val="32"/>
          <w:szCs w:val="32"/>
          <w14:textFill>
            <w14:solidFill>
              <w14:schemeClr w14:val="tx1"/>
            </w14:solidFill>
          </w14:textFill>
        </w:rPr>
        <w:t>建筑物类别界定工作组</w:t>
      </w:r>
      <w:bookmarkEnd w:id="5"/>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负责征收范围内建筑物的类别、性质、面积、权属等四个方面的界定工作。组成人员如下:</w:t>
      </w:r>
    </w:p>
    <w:p>
      <w:pPr>
        <w:spacing w:line="600" w:lineRule="exact"/>
        <w:ind w:firstLine="640" w:firstLineChars="200"/>
        <w:jc w:val="left"/>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组  长:</w:t>
      </w:r>
      <w:r>
        <w:rPr>
          <w:rFonts w:hint="eastAsia" w:ascii="仿宋_GB2312" w:eastAsia="仿宋_GB2312"/>
          <w:color w:val="000000" w:themeColor="text1"/>
          <w:sz w:val="32"/>
          <w:szCs w:val="32"/>
          <w:lang w:val="en-US" w:eastAsia="zh-CN"/>
          <w14:textFill>
            <w14:solidFill>
              <w14:schemeClr w14:val="tx1"/>
            </w14:solidFill>
          </w14:textFill>
        </w:rPr>
        <w:t>叶廷操</w:t>
      </w:r>
    </w:p>
    <w:p>
      <w:pPr>
        <w:spacing w:line="600" w:lineRule="exact"/>
        <w:ind w:firstLine="640" w:firstLineChars="200"/>
        <w:jc w:val="left"/>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副组长:</w:t>
      </w:r>
      <w:r>
        <w:rPr>
          <w:rFonts w:hint="eastAsia" w:ascii="仿宋_GB2312" w:eastAsia="仿宋_GB2312"/>
          <w:color w:val="000000" w:themeColor="text1"/>
          <w:sz w:val="32"/>
          <w:szCs w:val="32"/>
          <w:lang w:val="en-US" w:eastAsia="zh-CN"/>
          <w14:textFill>
            <w14:solidFill>
              <w14:schemeClr w14:val="tx1"/>
            </w14:solidFill>
          </w14:textFill>
        </w:rPr>
        <w:t>江锋源</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成员由新区</w:t>
      </w:r>
      <w:r>
        <w:rPr>
          <w:rFonts w:hint="eastAsia" w:ascii="仿宋_GB2312" w:eastAsia="仿宋_GB2312"/>
          <w:color w:val="000000" w:themeColor="text1"/>
          <w:sz w:val="32"/>
          <w:szCs w:val="32"/>
          <w:lang w:val="en-US" w:eastAsia="zh-CN"/>
          <w14:textFill>
            <w14:solidFill>
              <w14:schemeClr w14:val="tx1"/>
            </w14:solidFill>
          </w14:textFill>
        </w:rPr>
        <w:t>自然资源和城乡</w:t>
      </w:r>
      <w:r>
        <w:rPr>
          <w:rFonts w:hint="eastAsia" w:ascii="仿宋_GB2312" w:eastAsia="仿宋_GB2312"/>
          <w:color w:val="000000" w:themeColor="text1"/>
          <w:sz w:val="32"/>
          <w:szCs w:val="32"/>
          <w14:textFill>
            <w14:solidFill>
              <w14:schemeClr w14:val="tx1"/>
            </w14:solidFill>
          </w14:textFill>
        </w:rPr>
        <w:t>建设局、行政综合执法局</w:t>
      </w:r>
      <w:r>
        <w:rPr>
          <w:rFonts w:hint="eastAsia" w:ascii="仿宋_GB2312" w:eastAsia="仿宋_GB2312"/>
          <w:color w:val="000000" w:themeColor="text1"/>
          <w:sz w:val="32"/>
          <w:szCs w:val="32"/>
          <w:lang w:val="en-US" w:eastAsia="zh-CN"/>
          <w14:textFill>
            <w14:solidFill>
              <w14:schemeClr w14:val="tx1"/>
            </w14:solidFill>
          </w14:textFill>
        </w:rPr>
        <w:t>和临江镇人民政府</w:t>
      </w:r>
      <w:r>
        <w:rPr>
          <w:rFonts w:hint="eastAsia" w:ascii="仿宋_GB2312" w:eastAsia="仿宋_GB2312"/>
          <w:color w:val="000000" w:themeColor="text1"/>
          <w:sz w:val="32"/>
          <w:szCs w:val="32"/>
          <w14:textFill>
            <w14:solidFill>
              <w14:schemeClr w14:val="tx1"/>
            </w14:solidFill>
          </w14:textFill>
        </w:rPr>
        <w:t>抽调人员组成。</w:t>
      </w:r>
    </w:p>
    <w:p>
      <w:pPr>
        <w:spacing w:line="600" w:lineRule="exact"/>
        <w:ind w:firstLine="640" w:firstLineChars="200"/>
        <w:jc w:val="left"/>
        <w:outlineLvl w:val="0"/>
        <w:rPr>
          <w:rFonts w:hint="eastAsia" w:ascii="楷体" w:hAnsi="楷体" w:eastAsia="楷体" w:cs="楷体"/>
          <w:color w:val="000000" w:themeColor="text1"/>
          <w:sz w:val="32"/>
          <w:szCs w:val="32"/>
          <w14:textFill>
            <w14:solidFill>
              <w14:schemeClr w14:val="tx1"/>
            </w14:solidFill>
          </w14:textFill>
        </w:rPr>
      </w:pPr>
      <w:bookmarkStart w:id="6" w:name="_Toc15895"/>
      <w:r>
        <w:rPr>
          <w:rFonts w:hint="eastAsia" w:ascii="楷体" w:hAnsi="楷体" w:eastAsia="楷体" w:cs="楷体"/>
          <w:color w:val="000000" w:themeColor="text1"/>
          <w:sz w:val="32"/>
          <w:szCs w:val="32"/>
          <w:highlight w:val="none"/>
          <w14:textFill>
            <w14:solidFill>
              <w14:schemeClr w14:val="tx1"/>
            </w14:solidFill>
          </w14:textFill>
        </w:rPr>
        <w:t>(</w:t>
      </w:r>
      <w:r>
        <w:rPr>
          <w:rFonts w:hint="eastAsia" w:ascii="楷体" w:hAnsi="楷体" w:eastAsia="楷体" w:cs="楷体"/>
          <w:color w:val="000000" w:themeColor="text1"/>
          <w:sz w:val="32"/>
          <w:szCs w:val="32"/>
          <w14:textFill>
            <w14:solidFill>
              <w14:schemeClr w14:val="tx1"/>
            </w14:solidFill>
          </w14:textFill>
        </w:rPr>
        <w:t>七</w:t>
      </w:r>
      <w:r>
        <w:rPr>
          <w:rFonts w:hint="eastAsia" w:ascii="楷体" w:hAnsi="楷体" w:eastAsia="楷体" w:cs="楷体"/>
          <w:color w:val="000000" w:themeColor="text1"/>
          <w:sz w:val="32"/>
          <w:szCs w:val="32"/>
          <w:highlight w:val="none"/>
          <w14:textFill>
            <w14:solidFill>
              <w14:schemeClr w14:val="tx1"/>
            </w14:solidFill>
          </w14:textFill>
        </w:rPr>
        <w:t>)</w:t>
      </w:r>
      <w:r>
        <w:rPr>
          <w:rFonts w:hint="eastAsia" w:ascii="楷体" w:hAnsi="楷体" w:eastAsia="楷体" w:cs="楷体"/>
          <w:color w:val="000000" w:themeColor="text1"/>
          <w:sz w:val="32"/>
          <w:szCs w:val="32"/>
          <w14:textFill>
            <w14:solidFill>
              <w14:schemeClr w14:val="tx1"/>
            </w14:solidFill>
          </w14:textFill>
        </w:rPr>
        <w:t>国有土地房屋处置组</w:t>
      </w:r>
      <w:bookmarkEnd w:id="6"/>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具体负责区域内国有土地房屋、建（构）筑物处置工作。组成人员如下:</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组  长:王建林 </w:t>
      </w:r>
    </w:p>
    <w:p>
      <w:pPr>
        <w:spacing w:line="600" w:lineRule="exact"/>
        <w:ind w:firstLine="640" w:firstLineChars="200"/>
        <w:jc w:val="left"/>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副组长:</w:t>
      </w:r>
      <w:r>
        <w:rPr>
          <w:rFonts w:hint="eastAsia" w:ascii="仿宋_GB2312" w:eastAsia="仿宋_GB2312"/>
          <w:color w:val="000000" w:themeColor="text1"/>
          <w:sz w:val="32"/>
          <w:szCs w:val="32"/>
          <w:lang w:val="en-US" w:eastAsia="zh-CN"/>
          <w14:textFill>
            <w14:solidFill>
              <w14:schemeClr w14:val="tx1"/>
            </w14:solidFill>
          </w14:textFill>
        </w:rPr>
        <w:t>李碧辉</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成员由新区</w:t>
      </w:r>
      <w:r>
        <w:rPr>
          <w:rFonts w:hint="eastAsia" w:ascii="仿宋_GB2312" w:eastAsia="仿宋_GB2312"/>
          <w:color w:val="000000" w:themeColor="text1"/>
          <w:sz w:val="32"/>
          <w:szCs w:val="32"/>
          <w:lang w:val="en-US" w:eastAsia="zh-CN"/>
          <w14:textFill>
            <w14:solidFill>
              <w14:schemeClr w14:val="tx1"/>
            </w14:solidFill>
          </w14:textFill>
        </w:rPr>
        <w:t>管委会有关职能部门和</w:t>
      </w:r>
      <w:r>
        <w:rPr>
          <w:rFonts w:hint="eastAsia" w:ascii="仿宋_GB2312" w:eastAsia="仿宋_GB2312"/>
          <w:color w:val="000000" w:themeColor="text1"/>
          <w:sz w:val="32"/>
          <w:szCs w:val="32"/>
          <w14:textFill>
            <w14:solidFill>
              <w14:schemeClr w14:val="tx1"/>
            </w14:solidFill>
          </w14:textFill>
        </w:rPr>
        <w:t>临江镇人民政府抽调人员组成。</w:t>
      </w:r>
    </w:p>
    <w:p>
      <w:pPr>
        <w:spacing w:line="600"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具体负责：1.收集汇总收回区域内国有土地使用权相关资料，并对土地收回成本进行审核；2.制定收回国有土地使用权方案；3.对土地所有权人按照收回国有土地使用权方案进行土地置换或货币补偿；4.对原土地使用权人土地办理注销土地登记手续等相关工作。</w:t>
      </w:r>
    </w:p>
    <w:p>
      <w:pPr>
        <w:numPr>
          <w:ilvl w:val="0"/>
          <w:numId w:val="1"/>
        </w:numPr>
        <w:spacing w:line="600" w:lineRule="exact"/>
        <w:ind w:left="0" w:leftChars="0" w:firstLine="640" w:firstLineChars="200"/>
        <w:jc w:val="left"/>
        <w:outlineLvl w:val="0"/>
        <w:rPr>
          <w:rFonts w:hint="eastAsia" w:ascii="黑体" w:hAnsi="黑体" w:eastAsia="黑体" w:cs="黑体"/>
          <w:color w:val="000000" w:themeColor="text1"/>
          <w:sz w:val="32"/>
          <w:szCs w:val="32"/>
          <w:lang w:val="en-US" w:eastAsia="zh-CN"/>
          <w14:textFill>
            <w14:solidFill>
              <w14:schemeClr w14:val="tx1"/>
            </w14:solidFill>
          </w14:textFill>
        </w:rPr>
      </w:pPr>
      <w:bookmarkStart w:id="7" w:name="_Toc9679"/>
      <w:r>
        <w:rPr>
          <w:rFonts w:hint="eastAsia" w:ascii="黑体" w:hAnsi="黑体" w:eastAsia="黑体" w:cs="黑体"/>
          <w:color w:val="000000" w:themeColor="text1"/>
          <w:sz w:val="32"/>
          <w:szCs w:val="32"/>
          <w:lang w:val="en-US" w:eastAsia="zh-CN"/>
          <w14:textFill>
            <w14:solidFill>
              <w14:schemeClr w14:val="tx1"/>
            </w14:solidFill>
          </w14:textFill>
        </w:rPr>
        <w:t>实施范围</w:t>
      </w:r>
      <w:bookmarkEnd w:id="7"/>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根据业主单位提供的河源市G205国道东移项目江东新区（临江段）红线图测算，G205国道东移项目江东新区（临江段）涉临江镇梧峰村、年丰村、澄岭村、联新村、禾坑村、桂林村土地，总面积约1450.965亩。具体以用地红线图为准（见附图）</w:t>
      </w:r>
    </w:p>
    <w:p>
      <w:pPr>
        <w:numPr>
          <w:ilvl w:val="0"/>
          <w:numId w:val="1"/>
        </w:numPr>
        <w:spacing w:line="600" w:lineRule="exact"/>
        <w:ind w:left="0" w:leftChars="0" w:firstLine="640" w:firstLineChars="200"/>
        <w:jc w:val="left"/>
        <w:outlineLvl w:val="0"/>
        <w:rPr>
          <w:rFonts w:hint="eastAsia" w:ascii="黑体" w:hAnsi="黑体" w:eastAsia="黑体" w:cs="黑体"/>
          <w:color w:val="000000" w:themeColor="text1"/>
          <w:sz w:val="32"/>
          <w:szCs w:val="32"/>
          <w:lang w:val="en-US" w:eastAsia="zh-CN"/>
          <w14:textFill>
            <w14:solidFill>
              <w14:schemeClr w14:val="tx1"/>
            </w14:solidFill>
          </w14:textFill>
        </w:rPr>
      </w:pPr>
      <w:bookmarkStart w:id="8" w:name="_Toc5099"/>
      <w:r>
        <w:rPr>
          <w:rFonts w:hint="eastAsia" w:ascii="黑体" w:hAnsi="黑体" w:eastAsia="黑体" w:cs="黑体"/>
          <w:color w:val="000000" w:themeColor="text1"/>
          <w:sz w:val="32"/>
          <w:szCs w:val="32"/>
          <w:lang w:val="en-US" w:eastAsia="zh-CN"/>
          <w14:textFill>
            <w14:solidFill>
              <w14:schemeClr w14:val="tx1"/>
            </w14:solidFill>
          </w14:textFill>
        </w:rPr>
        <w:t>时间要求</w:t>
      </w:r>
      <w:bookmarkEnd w:id="8"/>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计划用1年时间完成本项目土地房屋征收及安置工作（2021年3月至2022年3月）。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0"/>
        <w:rPr>
          <w:rFonts w:hint="default" w:ascii="仿宋_GB2312" w:eastAsia="仿宋_GB2312"/>
          <w:color w:val="000000" w:themeColor="text1"/>
          <w:sz w:val="32"/>
          <w:szCs w:val="32"/>
          <w:lang w:val="en-US" w:eastAsia="zh-CN"/>
          <w14:textFill>
            <w14:solidFill>
              <w14:schemeClr w14:val="tx1"/>
            </w14:solidFill>
          </w14:textFill>
        </w:rPr>
      </w:pPr>
      <w:bookmarkStart w:id="9" w:name="_Toc27069"/>
      <w:r>
        <w:rPr>
          <w:rFonts w:hint="eastAsia" w:ascii="黑体" w:hAnsi="黑体" w:eastAsia="黑体" w:cs="黑体"/>
          <w:color w:val="000000" w:themeColor="text1"/>
          <w:sz w:val="32"/>
          <w:szCs w:val="32"/>
          <w:lang w:val="en-US" w:eastAsia="zh-CN"/>
          <w14:textFill>
            <w14:solidFill>
              <w14:schemeClr w14:val="tx1"/>
            </w14:solidFill>
          </w14:textFill>
        </w:rPr>
        <w:t>四、工作安排</w:t>
      </w:r>
      <w:bookmarkEnd w:id="9"/>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由新区管委会作为河源市G205国道</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东移项目江东新区（临江段）</w:t>
      </w:r>
      <w:r>
        <w:rPr>
          <w:rFonts w:hint="eastAsia" w:ascii="仿宋_GB2312" w:hAnsi="仿宋_GB2312" w:eastAsia="仿宋_GB2312" w:cs="仿宋_GB2312"/>
          <w:color w:val="000000" w:themeColor="text1"/>
          <w:sz w:val="32"/>
          <w:szCs w:val="32"/>
          <w14:textFill>
            <w14:solidFill>
              <w14:schemeClr w14:val="tx1"/>
            </w14:solidFill>
          </w14:textFill>
        </w:rPr>
        <w:t>建设实施主体负总责，抽调新区有关职能部门</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临江镇人民政府人员具体负责推进此项工作。各有关单位具体分工如下：</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（一）新区发展财政局负责项目立项审批和资金筹措、监督使用。新区自然资源和城乡建设局协助。</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新区自然资源和城乡建设局负责安置用地及村集体留用地选址、规划、放线等工作，负责组织用地报批，制订土地房屋征收补偿方案，拨付土地房屋征收补偿资金，指导临江镇政府实施土地房屋征收等工作，具体业务由临江镇组织实施。负责对镇级</w:t>
      </w:r>
      <w:r>
        <w:rPr>
          <w:rFonts w:hint="eastAsia" w:ascii="仿宋_GB2312" w:hAnsi="仿宋_GB2312" w:eastAsia="仿宋_GB2312" w:cs="仿宋_GB2312"/>
          <w:color w:val="000000" w:themeColor="text1"/>
          <w:sz w:val="32"/>
          <w:szCs w:val="32"/>
          <w:highlight w:val="none"/>
          <w14:textFill>
            <w14:solidFill>
              <w14:schemeClr w14:val="tx1"/>
            </w14:solidFill>
          </w14:textFill>
        </w:rPr>
        <w:t>征拆</w:t>
      </w:r>
      <w:r>
        <w:rPr>
          <w:rFonts w:hint="eastAsia" w:ascii="仿宋_GB2312" w:hAnsi="仿宋_GB2312" w:eastAsia="仿宋_GB2312" w:cs="仿宋_GB2312"/>
          <w:color w:val="000000" w:themeColor="text1"/>
          <w:sz w:val="32"/>
          <w:szCs w:val="32"/>
          <w14:textFill>
            <w14:solidFill>
              <w14:schemeClr w14:val="tx1"/>
            </w14:solidFill>
          </w14:textFill>
        </w:rPr>
        <w:t>机构报送的征地材料进行补偿金核算和发放补偿金，指导征地拆迁工作，监督检查征地拆迁有关政策的落实情况。新区组织人事和社会保障局、发展财政局、农林水务局协助。</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临江镇、新区自然资源和城乡建设局负责村集体留用地安置工作。临江镇负责收集各村土地征收及集体留用地数据，并制定留用地安置方案，上报请示新区管委会。新区自然资源和城乡建设局负责确定规划留用地地块选址位置、用途、容积率，出具规划用地红线，并组织用地报批、办理规划、用地手续。新区管委会根据留用地安置方案及规划设计条件，召开会议讨论决定，以会议纪要的形式同意村集体留用地安置方案，并明确时间节点。</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（四）新区组织人事和社会保障局负责做好被征地农民养老保障工作。</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（五）新区农林水务局负责林地报批及违法使用林地的处置工作。</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（六）新区行政综合执法局负责G205</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国道东移项目江东新区（临江段）</w:t>
      </w:r>
      <w:r>
        <w:rPr>
          <w:rFonts w:hint="eastAsia" w:ascii="仿宋_GB2312" w:hAnsi="仿宋_GB2312" w:eastAsia="仿宋_GB2312" w:cs="仿宋_GB2312"/>
          <w:color w:val="000000" w:themeColor="text1"/>
          <w:sz w:val="32"/>
          <w:szCs w:val="32"/>
          <w14:textFill>
            <w14:solidFill>
              <w14:schemeClr w14:val="tx1"/>
            </w14:solidFill>
          </w14:textFill>
        </w:rPr>
        <w:t>征收范围内征地拆迁法规宣传、违法违章建筑及非法广告牌匾的拆除工作</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负责根据征迁工作领导小组的安排，全力配合部门、临江镇政府开展征地拆迁工作。</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0"/>
        <w:rPr>
          <w:rFonts w:hint="eastAsia" w:ascii="黑体" w:hAnsi="黑体" w:eastAsia="黑体" w:cs="黑体"/>
          <w:color w:val="000000" w:themeColor="text1"/>
          <w:sz w:val="32"/>
          <w:szCs w:val="32"/>
          <w14:textFill>
            <w14:solidFill>
              <w14:schemeClr w14:val="tx1"/>
            </w14:solidFill>
          </w14:textFill>
        </w:rPr>
      </w:pPr>
      <w:bookmarkStart w:id="10" w:name="_Toc6150"/>
      <w:r>
        <w:rPr>
          <w:rFonts w:hint="eastAsia" w:ascii="黑体" w:hAnsi="黑体" w:eastAsia="黑体" w:cs="黑体"/>
          <w:color w:val="000000" w:themeColor="text1"/>
          <w:sz w:val="32"/>
          <w:szCs w:val="32"/>
          <w14:textFill>
            <w14:solidFill>
              <w14:schemeClr w14:val="tx1"/>
            </w14:solidFill>
          </w14:textFill>
        </w:rPr>
        <w:t>五、土地房屋征收补偿和安置标准</w:t>
      </w:r>
      <w:bookmarkEnd w:id="10"/>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kern w:val="0"/>
          <w:sz w:val="32"/>
          <w:szCs w:val="32"/>
          <w:lang w:val="en-US" w:eastAsia="zh-CN" w:bidi="ar-SA"/>
          <w14:textFill>
            <w14:solidFill>
              <w14:schemeClr w14:val="tx1"/>
            </w14:solidFill>
          </w14:textFill>
        </w:rPr>
        <w:t>（一）土地征收补偿标准</w:t>
      </w:r>
      <w:r>
        <w:rPr>
          <w:rFonts w:hint="eastAsia" w:ascii="仿宋_GB2312" w:hAnsi="仿宋_GB2312" w:eastAsia="仿宋_GB2312" w:cs="仿宋_GB2312"/>
          <w:color w:val="000000" w:themeColor="text1"/>
          <w:sz w:val="32"/>
          <w:szCs w:val="32"/>
          <w14:textFill>
            <w14:solidFill>
              <w14:schemeClr w14:val="tx1"/>
            </w14:solidFill>
          </w14:textFill>
        </w:rPr>
        <w:t>:结合新区实际，</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河源市G205国道东移项目江东新区（临江段）土地征收补偿标准参照河源市高铁新城征地补偿标准执行。</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color w:val="000000" w:themeColor="text1"/>
          <w:kern w:val="0"/>
          <w:sz w:val="32"/>
          <w:szCs w:val="32"/>
          <w:lang w:val="en-US" w:eastAsia="zh-CN" w:bidi="ar-SA"/>
          <w14:textFill>
            <w14:solidFill>
              <w14:schemeClr w14:val="tx1"/>
            </w14:solidFill>
          </w14:textFill>
        </w:rPr>
        <w:t>（二）土地征收安置标准</w:t>
      </w:r>
      <w:r>
        <w:rPr>
          <w:rFonts w:hint="eastAsia" w:ascii="仿宋_GB2312" w:hAnsi="仿宋_GB2312" w:eastAsia="仿宋_GB2312" w:cs="仿宋_GB2312"/>
          <w:color w:val="000000" w:themeColor="text1"/>
          <w:sz w:val="32"/>
          <w:szCs w:val="32"/>
          <w14:textFill>
            <w14:solidFill>
              <w14:schemeClr w14:val="tx1"/>
            </w14:solidFill>
          </w14:textFill>
        </w:rPr>
        <w:t>: 1.村集体留用地按《广东省人民政府办公厅关于加强征收农村集体土地留用地安置管理工作的意见》（粤府办〔2016〕30号）执行；2.被征地农民养老保障按照《转发省人力资源社会保障厅关于进一步做好我省被征地农民养老保障工作意见的通知》</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粤府办〔2010〕41号</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执行。</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仿宋_GB2312" w:hAnsi="仿宋_GB2312" w:eastAsia="仿宋_GB2312" w:cs="仿宋_GB2312"/>
          <w:color w:val="000000" w:themeColor="text1"/>
          <w:sz w:val="32"/>
          <w:szCs w:val="32"/>
          <w:highlight w:val="yellow"/>
          <w:lang w:val="en-US"/>
          <w14:textFill>
            <w14:solidFill>
              <w14:schemeClr w14:val="tx1"/>
            </w14:solidFill>
          </w14:textFill>
        </w:rPr>
      </w:pPr>
      <w:r>
        <w:rPr>
          <w:rFonts w:hint="eastAsia" w:ascii="楷体" w:hAnsi="楷体" w:eastAsia="楷体" w:cs="楷体"/>
          <w:color w:val="000000" w:themeColor="text1"/>
          <w:kern w:val="0"/>
          <w:sz w:val="32"/>
          <w:szCs w:val="32"/>
          <w:lang w:val="en-US" w:eastAsia="zh-CN" w:bidi="ar-SA"/>
          <w14:textFill>
            <w14:solidFill>
              <w14:schemeClr w14:val="tx1"/>
            </w14:solidFill>
          </w14:textFill>
        </w:rPr>
        <w:t>（三）房</w:t>
      </w:r>
      <w:r>
        <w:rPr>
          <w:rFonts w:hint="eastAsia" w:ascii="楷体" w:hAnsi="楷体" w:eastAsia="楷体" w:cs="楷体"/>
          <w:color w:val="000000" w:themeColor="text1"/>
          <w:sz w:val="32"/>
          <w:szCs w:val="32"/>
          <w14:textFill>
            <w14:solidFill>
              <w14:schemeClr w14:val="tx1"/>
            </w14:solidFill>
          </w14:textFill>
        </w:rPr>
        <w:t>屋征收补偿标准</w:t>
      </w:r>
      <w:r>
        <w:rPr>
          <w:rFonts w:hint="eastAsia" w:ascii="楷体" w:hAnsi="楷体" w:eastAsia="楷体" w:cs="楷体"/>
          <w:color w:val="000000" w:themeColor="text1"/>
          <w:sz w:val="32"/>
          <w:szCs w:val="32"/>
          <w:lang w:eastAsia="zh-CN"/>
          <w14:textFill>
            <w14:solidFill>
              <w14:schemeClr w14:val="tx1"/>
            </w14:solidFill>
          </w14:textFill>
        </w:rPr>
        <w:t>、</w:t>
      </w:r>
      <w:r>
        <w:rPr>
          <w:rFonts w:hint="eastAsia" w:ascii="楷体" w:hAnsi="楷体" w:eastAsia="楷体" w:cs="楷体"/>
          <w:color w:val="000000" w:themeColor="text1"/>
          <w:sz w:val="32"/>
          <w:szCs w:val="32"/>
          <w14:textFill>
            <w14:solidFill>
              <w14:schemeClr w14:val="tx1"/>
            </w14:solidFill>
          </w14:textFill>
        </w:rPr>
        <w:t>房屋征收安置标准</w:t>
      </w:r>
      <w:r>
        <w:rPr>
          <w:rFonts w:hint="eastAsia" w:ascii="楷体" w:hAnsi="楷体" w:eastAsia="楷体" w:cs="楷体"/>
          <w:color w:val="000000" w:themeColor="text1"/>
          <w:sz w:val="32"/>
          <w:szCs w:val="32"/>
          <w:lang w:eastAsia="zh-CN"/>
          <w14:textFill>
            <w14:solidFill>
              <w14:schemeClr w14:val="tx1"/>
            </w14:solidFill>
          </w14:textFill>
        </w:rPr>
        <w:t>、</w:t>
      </w:r>
      <w:r>
        <w:rPr>
          <w:rFonts w:hint="eastAsia" w:ascii="楷体" w:hAnsi="楷体" w:eastAsia="楷体" w:cs="楷体"/>
          <w:color w:val="000000" w:themeColor="text1"/>
          <w:sz w:val="32"/>
          <w:szCs w:val="32"/>
          <w14:textFill>
            <w14:solidFill>
              <w14:schemeClr w14:val="tx1"/>
            </w14:solidFill>
          </w14:textFill>
        </w:rPr>
        <w:t>建筑物界定及农村家庭分户原则</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河源市G205国道东移项目江东新区（临江段）房屋征收补偿安置的原则、范围、标准、方式，建筑物的界定及家庭分户原则，临时过渡方式，停产停业损失，补助和奖励参照河源市高铁新城房屋征收补偿安置的方式及标准执行。</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0"/>
        <w:rPr>
          <w:rFonts w:hint="eastAsia" w:ascii="黑体" w:hAnsi="黑体" w:eastAsia="黑体" w:cs="黑体"/>
          <w:color w:val="000000" w:themeColor="text1"/>
          <w:sz w:val="32"/>
          <w:szCs w:val="32"/>
          <w14:textFill>
            <w14:solidFill>
              <w14:schemeClr w14:val="tx1"/>
            </w14:solidFill>
          </w14:textFill>
        </w:rPr>
      </w:pPr>
      <w:bookmarkStart w:id="11" w:name="_Toc3426"/>
      <w:r>
        <w:rPr>
          <w:rFonts w:hint="eastAsia" w:ascii="黑体" w:hAnsi="黑体" w:eastAsia="黑体" w:cs="黑体"/>
          <w:color w:val="000000" w:themeColor="text1"/>
          <w:sz w:val="32"/>
          <w:szCs w:val="32"/>
          <w:lang w:val="en-US" w:eastAsia="zh-CN"/>
          <w14:textFill>
            <w14:solidFill>
              <w14:schemeClr w14:val="tx1"/>
            </w14:solidFill>
          </w14:textFill>
        </w:rPr>
        <w:t>六</w:t>
      </w:r>
      <w:r>
        <w:rPr>
          <w:rFonts w:hint="eastAsia" w:ascii="黑体" w:hAnsi="黑体" w:eastAsia="黑体" w:cs="黑体"/>
          <w:color w:val="000000" w:themeColor="text1"/>
          <w:sz w:val="32"/>
          <w:szCs w:val="32"/>
          <w14:textFill>
            <w14:solidFill>
              <w14:schemeClr w14:val="tx1"/>
            </w14:solidFill>
          </w14:textFill>
        </w:rPr>
        <w:t>、工作经费</w:t>
      </w:r>
      <w:bookmarkEnd w:id="11"/>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（一）土地征收工作经费，按土地征收（含临时用地）面积6元／平方米标准计算，由新区管委会按照镇、村二级的适度比例统筹安排。</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二）土地监管经费按土地征收面积2元／平方米标准计算。</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 ）征地服务费按土地征收面积1元／平方米标准计算。</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（四）房屋征收工作经费按房屋征收补偿安置总额的0.5%计算。</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（五）清</w:t>
      </w:r>
      <w:r>
        <w:rPr>
          <w:rFonts w:hint="eastAsia" w:ascii="仿宋_GB2312" w:hAnsi="仿宋_GB2312" w:eastAsia="仿宋_GB2312" w:cs="仿宋_GB2312"/>
          <w:color w:val="000000" w:themeColor="text1"/>
          <w:sz w:val="32"/>
          <w:szCs w:val="32"/>
          <w:highlight w:val="none"/>
          <w14:textFill>
            <w14:solidFill>
              <w14:schemeClr w14:val="tx1"/>
            </w14:solidFill>
          </w14:textFill>
        </w:rPr>
        <w:t>表清</w:t>
      </w:r>
      <w:r>
        <w:rPr>
          <w:rFonts w:hint="eastAsia" w:ascii="仿宋_GB2312" w:hAnsi="仿宋_GB2312" w:eastAsia="仿宋_GB2312" w:cs="仿宋_GB2312"/>
          <w:color w:val="000000" w:themeColor="text1"/>
          <w:sz w:val="32"/>
          <w:szCs w:val="32"/>
          <w14:textFill>
            <w14:solidFill>
              <w14:schemeClr w14:val="tx1"/>
            </w14:solidFill>
          </w14:textFill>
        </w:rPr>
        <w:t>障费按照实际工作量计算。</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（六）各单位抽调工作人员给予适当的出勤补助（按实际工作日每人每天80 元计算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（七）每个工作小组每月工作用车油料费补助5000 元。</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（八）领导小组经费</w:t>
      </w:r>
      <w:r>
        <w:rPr>
          <w:rFonts w:hint="eastAsia" w:ascii="仿宋_GB2312" w:hAnsi="仿宋_GB2312" w:eastAsia="仿宋_GB2312" w:cs="仿宋_GB2312"/>
          <w:color w:val="000000" w:themeColor="text1"/>
          <w:sz w:val="32"/>
          <w:szCs w:val="32"/>
          <w:highlight w:val="none"/>
          <w14:textFill>
            <w14:solidFill>
              <w14:schemeClr w14:val="tx1"/>
            </w14:solidFill>
          </w14:textFill>
        </w:rPr>
        <w:t>及其它</w:t>
      </w:r>
      <w:r>
        <w:rPr>
          <w:rFonts w:hint="eastAsia" w:ascii="仿宋_GB2312" w:hAnsi="仿宋_GB2312" w:eastAsia="仿宋_GB2312" w:cs="仿宋_GB2312"/>
          <w:color w:val="000000" w:themeColor="text1"/>
          <w:sz w:val="32"/>
          <w:szCs w:val="32"/>
          <w14:textFill>
            <w14:solidFill>
              <w14:schemeClr w14:val="tx1"/>
            </w14:solidFill>
          </w14:textFill>
        </w:rPr>
        <w:t>费用视实际情况核发。</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outlineLvl w:val="0"/>
        <w:rPr>
          <w:rFonts w:hint="eastAsia" w:ascii="黑体" w:hAnsi="黑体" w:eastAsia="黑体" w:cs="黑体"/>
          <w:color w:val="000000" w:themeColor="text1"/>
          <w:sz w:val="32"/>
          <w:szCs w:val="32"/>
          <w14:textFill>
            <w14:solidFill>
              <w14:schemeClr w14:val="tx1"/>
            </w14:solidFill>
          </w14:textFill>
        </w:rPr>
      </w:pPr>
      <w:bookmarkStart w:id="12" w:name="_Toc15956"/>
      <w:r>
        <w:rPr>
          <w:rFonts w:hint="eastAsia" w:ascii="黑体" w:hAnsi="黑体" w:eastAsia="黑体" w:cs="黑体"/>
          <w:color w:val="000000" w:themeColor="text1"/>
          <w:sz w:val="32"/>
          <w:szCs w:val="32"/>
          <w:lang w:val="en-US" w:eastAsia="zh-CN"/>
          <w14:textFill>
            <w14:solidFill>
              <w14:schemeClr w14:val="tx1"/>
            </w14:solidFill>
          </w14:textFill>
        </w:rPr>
        <w:t>七</w:t>
      </w:r>
      <w:r>
        <w:rPr>
          <w:rFonts w:hint="eastAsia" w:ascii="黑体" w:hAnsi="黑体" w:eastAsia="黑体" w:cs="黑体"/>
          <w:color w:val="000000" w:themeColor="text1"/>
          <w:sz w:val="32"/>
          <w:szCs w:val="32"/>
          <w14:textFill>
            <w14:solidFill>
              <w14:schemeClr w14:val="tx1"/>
            </w14:solidFill>
          </w14:textFill>
        </w:rPr>
        <w:t>、资金管理</w:t>
      </w:r>
      <w:bookmarkEnd w:id="12"/>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（一）土地征收补偿资金：</w:t>
      </w:r>
      <w:r>
        <w:rPr>
          <w:rFonts w:hint="eastAsia" w:ascii="仿宋_GB2312" w:hAnsi="仿宋_GB2312" w:eastAsia="仿宋_GB2312" w:cs="仿宋_GB2312"/>
          <w:color w:val="000000" w:themeColor="text1"/>
          <w:sz w:val="32"/>
          <w:szCs w:val="32"/>
          <w14:textFill>
            <w14:solidFill>
              <w14:schemeClr w14:val="tx1"/>
            </w14:solidFill>
          </w14:textFill>
        </w:rPr>
        <w:t>新区发展财政局按征收进度将补偿资金拨付到新区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自然</w:t>
      </w:r>
      <w:r>
        <w:rPr>
          <w:rFonts w:hint="eastAsia" w:ascii="仿宋_GB2312" w:hAnsi="仿宋_GB2312" w:eastAsia="仿宋_GB2312" w:cs="仿宋_GB2312"/>
          <w:color w:val="000000" w:themeColor="text1"/>
          <w:sz w:val="32"/>
          <w:szCs w:val="32"/>
          <w14:textFill>
            <w14:solidFill>
              <w14:schemeClr w14:val="tx1"/>
            </w14:solidFill>
          </w14:textFill>
        </w:rPr>
        <w:t>资源和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城乡</w:t>
      </w:r>
      <w:r>
        <w:rPr>
          <w:rFonts w:hint="eastAsia" w:ascii="仿宋_GB2312" w:hAnsi="仿宋_GB2312" w:eastAsia="仿宋_GB2312" w:cs="仿宋_GB2312"/>
          <w:color w:val="000000" w:themeColor="text1"/>
          <w:sz w:val="32"/>
          <w:szCs w:val="32"/>
          <w14:textFill>
            <w14:solidFill>
              <w14:schemeClr w14:val="tx1"/>
            </w14:solidFill>
          </w14:textFill>
        </w:rPr>
        <w:t>建设局，定期结算，再将补偿资金拨付至临江镇，由临江镇以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转账支票</w:t>
      </w:r>
      <w:r>
        <w:rPr>
          <w:rFonts w:hint="eastAsia" w:ascii="仿宋_GB2312" w:hAnsi="仿宋_GB2312" w:eastAsia="仿宋_GB2312" w:cs="仿宋_GB2312"/>
          <w:color w:val="000000" w:themeColor="text1"/>
          <w:sz w:val="32"/>
          <w:szCs w:val="32"/>
          <w14:textFill>
            <w14:solidFill>
              <w14:schemeClr w14:val="tx1"/>
            </w14:solidFill>
          </w14:textFill>
        </w:rPr>
        <w:t>的形式支付给被征地农民。</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（二）房屋</w:t>
      </w:r>
      <w:r>
        <w:rPr>
          <w:rFonts w:hint="eastAsia" w:ascii="楷体" w:hAnsi="楷体" w:eastAsia="楷体" w:cs="楷体"/>
          <w:color w:val="000000" w:themeColor="text1"/>
          <w:sz w:val="32"/>
          <w:szCs w:val="32"/>
          <w:lang w:val="en-US" w:eastAsia="zh-CN"/>
          <w14:textFill>
            <w14:solidFill>
              <w14:schemeClr w14:val="tx1"/>
            </w14:solidFill>
          </w14:textFill>
        </w:rPr>
        <w:t>征收补偿资金：</w:t>
      </w:r>
      <w:r>
        <w:rPr>
          <w:rFonts w:hint="eastAsia" w:ascii="仿宋_GB2312" w:hAnsi="仿宋_GB2312" w:eastAsia="仿宋_GB2312" w:cs="仿宋_GB2312"/>
          <w:color w:val="000000" w:themeColor="text1"/>
          <w:sz w:val="32"/>
          <w:szCs w:val="32"/>
          <w14:textFill>
            <w14:solidFill>
              <w14:schemeClr w14:val="tx1"/>
            </w14:solidFill>
          </w14:textFill>
        </w:rPr>
        <w:t>新区发展财政局按征收进度将补偿资金拨付到新区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自然</w:t>
      </w:r>
      <w:r>
        <w:rPr>
          <w:rFonts w:hint="eastAsia" w:ascii="仿宋_GB2312" w:hAnsi="仿宋_GB2312" w:eastAsia="仿宋_GB2312" w:cs="仿宋_GB2312"/>
          <w:color w:val="000000" w:themeColor="text1"/>
          <w:sz w:val="32"/>
          <w:szCs w:val="32"/>
          <w14:textFill>
            <w14:solidFill>
              <w14:schemeClr w14:val="tx1"/>
            </w14:solidFill>
          </w14:textFill>
        </w:rPr>
        <w:t>资源和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城乡</w:t>
      </w:r>
      <w:r>
        <w:rPr>
          <w:rFonts w:hint="eastAsia" w:ascii="仿宋_GB2312" w:hAnsi="仿宋_GB2312" w:eastAsia="仿宋_GB2312" w:cs="仿宋_GB2312"/>
          <w:color w:val="000000" w:themeColor="text1"/>
          <w:sz w:val="32"/>
          <w:szCs w:val="32"/>
          <w14:textFill>
            <w14:solidFill>
              <w14:schemeClr w14:val="tx1"/>
            </w14:solidFill>
          </w14:textFill>
        </w:rPr>
        <w:t>建设局，定期结算，再将补偿资金拨付至临江镇，由临江镇以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转账支票</w:t>
      </w:r>
      <w:r>
        <w:rPr>
          <w:rFonts w:hint="eastAsia" w:ascii="仿宋_GB2312" w:hAnsi="仿宋_GB2312" w:eastAsia="仿宋_GB2312" w:cs="仿宋_GB2312"/>
          <w:color w:val="000000" w:themeColor="text1"/>
          <w:sz w:val="32"/>
          <w:szCs w:val="32"/>
          <w14:textFill>
            <w14:solidFill>
              <w14:schemeClr w14:val="tx1"/>
            </w14:solidFill>
          </w14:textFill>
        </w:rPr>
        <w:t>的形式支付给被征地农民。</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（三）其它资金按照有关规定办理申请，经审批后拨付。</w:t>
      </w:r>
    </w:p>
    <w:p>
      <w:pPr>
        <w:spacing w:line="600" w:lineRule="exact"/>
        <w:ind w:firstLine="640" w:firstLineChars="200"/>
        <w:jc w:val="left"/>
        <w:outlineLvl w:val="0"/>
        <w:rPr>
          <w:rFonts w:hint="eastAsia" w:ascii="黑体" w:hAnsi="黑体" w:eastAsia="黑体"/>
          <w:color w:val="000000" w:themeColor="text1"/>
          <w:sz w:val="32"/>
          <w:szCs w:val="32"/>
          <w14:textFill>
            <w14:solidFill>
              <w14:schemeClr w14:val="tx1"/>
            </w14:solidFill>
          </w14:textFill>
        </w:rPr>
      </w:pPr>
      <w:bookmarkStart w:id="13" w:name="_Toc861"/>
      <w:r>
        <w:rPr>
          <w:rFonts w:hint="eastAsia" w:ascii="黑体" w:hAnsi="黑体" w:eastAsia="黑体"/>
          <w:color w:val="000000" w:themeColor="text1"/>
          <w:sz w:val="32"/>
          <w:szCs w:val="32"/>
          <w:lang w:val="en-US" w:eastAsia="zh-CN"/>
          <w14:textFill>
            <w14:solidFill>
              <w14:schemeClr w14:val="tx1"/>
            </w14:solidFill>
          </w14:textFill>
        </w:rPr>
        <w:t>八</w:t>
      </w:r>
      <w:r>
        <w:rPr>
          <w:rFonts w:hint="eastAsia" w:ascii="黑体" w:hAnsi="黑体" w:eastAsia="黑体"/>
          <w:color w:val="000000" w:themeColor="text1"/>
          <w:sz w:val="32"/>
          <w:szCs w:val="32"/>
          <w14:textFill>
            <w14:solidFill>
              <w14:schemeClr w14:val="tx1"/>
            </w14:solidFill>
          </w14:textFill>
        </w:rPr>
        <w:t>、办公地点</w:t>
      </w:r>
      <w:bookmarkEnd w:id="13"/>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临江镇人民政府</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临江镇梧峰村、年丰村、澄岭村、联新村、禾坑村、桂林村村委会，</w:t>
      </w:r>
      <w:r>
        <w:rPr>
          <w:rFonts w:hint="eastAsia" w:ascii="仿宋_GB2312" w:eastAsia="仿宋_GB2312"/>
          <w:color w:val="000000" w:themeColor="text1"/>
          <w:sz w:val="32"/>
          <w:szCs w:val="32"/>
          <w14:textFill>
            <w14:solidFill>
              <w14:schemeClr w14:val="tx1"/>
            </w14:solidFill>
          </w14:textFill>
        </w:rPr>
        <w:t>江东新区</w:t>
      </w:r>
      <w:r>
        <w:rPr>
          <w:rFonts w:hint="eastAsia" w:ascii="仿宋_GB2312" w:eastAsia="仿宋_GB2312"/>
          <w:color w:val="000000" w:themeColor="text1"/>
          <w:sz w:val="32"/>
          <w:szCs w:val="32"/>
          <w:lang w:val="en-US" w:eastAsia="zh-CN"/>
          <w14:textFill>
            <w14:solidFill>
              <w14:schemeClr w14:val="tx1"/>
            </w14:solidFill>
          </w14:textFill>
        </w:rPr>
        <w:t>自然资源和城乡</w:t>
      </w:r>
      <w:r>
        <w:rPr>
          <w:rFonts w:hint="eastAsia" w:ascii="仿宋_GB2312" w:eastAsia="仿宋_GB2312"/>
          <w:color w:val="000000" w:themeColor="text1"/>
          <w:sz w:val="32"/>
          <w:szCs w:val="32"/>
          <w14:textFill>
            <w14:solidFill>
              <w14:schemeClr w14:val="tx1"/>
            </w14:solidFill>
          </w14:textFill>
        </w:rPr>
        <w:t>建设局</w:t>
      </w:r>
      <w:r>
        <w:rPr>
          <w:rFonts w:hint="eastAsia" w:ascii="仿宋_GB2312" w:eastAsia="仿宋_GB2312"/>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eastAsia="仿宋_GB2312"/>
          <w:color w:val="000000" w:themeColor="text1"/>
          <w:sz w:val="32"/>
          <w:szCs w:val="32"/>
          <w:lang w:val="en-US" w:eastAsia="zh-CN"/>
          <w14:textFill>
            <w14:solidFill>
              <w14:schemeClr w14:val="tx1"/>
            </w14:solidFill>
          </w14:textFill>
        </w:rPr>
      </w:pPr>
    </w:p>
    <w:p>
      <w:pPr>
        <w:spacing w:line="600" w:lineRule="exact"/>
        <w:ind w:firstLine="640" w:firstLineChars="200"/>
        <w:outlineLvl w:val="0"/>
        <w:rPr>
          <w:rFonts w:hint="eastAsia" w:ascii="仿宋_GB2312" w:eastAsia="仿宋_GB2312"/>
          <w:sz w:val="32"/>
          <w:szCs w:val="32"/>
        </w:rPr>
      </w:pPr>
      <w:bookmarkStart w:id="14" w:name="_Toc19414"/>
      <w:r>
        <w:rPr>
          <w:rFonts w:hint="eastAsia" w:ascii="仿宋_GB2312" w:eastAsia="仿宋_GB2312"/>
          <w:sz w:val="32"/>
          <w:szCs w:val="32"/>
        </w:rPr>
        <w:t>附件1.河源市</w:t>
      </w:r>
      <w:r>
        <w:rPr>
          <w:rFonts w:hint="eastAsia" w:ascii="仿宋_GB2312" w:eastAsia="仿宋_GB2312"/>
          <w:sz w:val="32"/>
          <w:szCs w:val="32"/>
          <w:lang w:val="en-US" w:eastAsia="zh-CN"/>
        </w:rPr>
        <w:t>G205国道东移项目江东新区（临江段）</w:t>
      </w:r>
      <w:r>
        <w:rPr>
          <w:rFonts w:hint="eastAsia" w:ascii="仿宋_GB2312" w:eastAsia="仿宋_GB2312"/>
          <w:sz w:val="32"/>
          <w:szCs w:val="32"/>
        </w:rPr>
        <w:t>土地征收补偿安置方案</w:t>
      </w:r>
      <w:bookmarkEnd w:id="14"/>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附件2.河源市</w:t>
      </w:r>
      <w:r>
        <w:rPr>
          <w:rFonts w:hint="eastAsia" w:ascii="仿宋_GB2312" w:eastAsia="仿宋_GB2312"/>
          <w:sz w:val="32"/>
          <w:szCs w:val="32"/>
          <w:lang w:val="en-US" w:eastAsia="zh-CN"/>
        </w:rPr>
        <w:t>G205国道东移项目江东新区（临江段）房屋</w:t>
      </w:r>
      <w:r>
        <w:rPr>
          <w:rFonts w:hint="eastAsia" w:ascii="仿宋_GB2312" w:eastAsia="仿宋_GB2312"/>
          <w:sz w:val="32"/>
          <w:szCs w:val="32"/>
        </w:rPr>
        <w:t>征收补偿安置方案</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eastAsia="仿宋_GB2312"/>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eastAsia="仿宋_GB2312"/>
          <w:color w:val="000000" w:themeColor="text1"/>
          <w:sz w:val="32"/>
          <w:szCs w:val="32"/>
          <w:lang w:val="en-US" w:eastAsia="zh-CN"/>
          <w14:textFill>
            <w14:solidFill>
              <w14:schemeClr w14:val="tx1"/>
            </w14:solidFill>
          </w14:textFill>
        </w:rPr>
      </w:pPr>
    </w:p>
    <w:p>
      <w:pPr>
        <w:spacing w:line="600" w:lineRule="exact"/>
        <w:outlineLvl w:val="0"/>
        <w:rPr>
          <w:rFonts w:hint="eastAsia" w:ascii="仿宋_GB2312" w:eastAsia="仿宋_GB2312"/>
          <w:sz w:val="32"/>
          <w:szCs w:val="32"/>
        </w:rPr>
      </w:pPr>
      <w:bookmarkStart w:id="15" w:name="_Toc3611"/>
      <w:r>
        <w:rPr>
          <w:rFonts w:hint="eastAsia" w:ascii="黑体" w:hAnsi="黑体" w:eastAsia="黑体" w:cs="黑体"/>
          <w:sz w:val="32"/>
          <w:szCs w:val="32"/>
        </w:rPr>
        <w:t>附件1</w:t>
      </w:r>
      <w:bookmarkEnd w:id="15"/>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河源市</w:t>
      </w:r>
      <w:r>
        <w:rPr>
          <w:rFonts w:hint="eastAsia" w:ascii="方正小标宋简体" w:eastAsia="方正小标宋简体"/>
          <w:sz w:val="44"/>
          <w:szCs w:val="44"/>
          <w:lang w:val="en-US" w:eastAsia="zh-CN"/>
        </w:rPr>
        <w:t>G205国道东移项目江东新区（临江段）</w:t>
      </w:r>
      <w:r>
        <w:rPr>
          <w:rFonts w:hint="eastAsia" w:ascii="方正小标宋简体" w:eastAsia="方正小标宋简体"/>
          <w:sz w:val="44"/>
          <w:szCs w:val="44"/>
        </w:rPr>
        <w:t>土地征收补偿安置方案</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为确保河源市</w:t>
      </w:r>
      <w:r>
        <w:rPr>
          <w:rFonts w:hint="eastAsia" w:ascii="仿宋_GB2312" w:eastAsia="仿宋_GB2312"/>
          <w:sz w:val="32"/>
          <w:szCs w:val="32"/>
          <w:lang w:val="en-US" w:eastAsia="zh-CN"/>
        </w:rPr>
        <w:t>G205国道东移项目江东新区（临江段）</w:t>
      </w:r>
      <w:r>
        <w:rPr>
          <w:rFonts w:hint="eastAsia" w:ascii="仿宋_GB2312" w:eastAsia="仿宋_GB2312"/>
          <w:sz w:val="32"/>
          <w:szCs w:val="32"/>
        </w:rPr>
        <w:t>土地征收工作的顺利进行，根据《中华人民共和国土地管理法》《广东省征地补偿保护标准》等有关规定，结合河源市区土地征收及新区实际，制定本方案。</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rPr>
        <w:t>一、征地范围</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本次河源市</w:t>
      </w:r>
      <w:r>
        <w:rPr>
          <w:rFonts w:hint="eastAsia" w:ascii="仿宋_GB2312" w:eastAsia="仿宋_GB2312"/>
          <w:color w:val="000000" w:themeColor="text1"/>
          <w:sz w:val="32"/>
          <w:szCs w:val="32"/>
          <w:lang w:val="en-US" w:eastAsia="zh-CN"/>
          <w14:textFill>
            <w14:solidFill>
              <w14:schemeClr w14:val="tx1"/>
            </w14:solidFill>
          </w14:textFill>
        </w:rPr>
        <w:t>G205国道东移项目江东新区（临江段）涉临江镇梧峰村、年丰村、澄岭村、联新村、禾坑村、桂林村土地，总面积约1450.965亩</w:t>
      </w:r>
      <w:r>
        <w:rPr>
          <w:rFonts w:hint="eastAsia" w:ascii="仿宋_GB2312" w:eastAsia="仿宋_GB2312"/>
          <w:sz w:val="32"/>
          <w:szCs w:val="32"/>
        </w:rPr>
        <w:t>。具体以用地红线图为准</w:t>
      </w:r>
      <w:r>
        <w:rPr>
          <w:rFonts w:hint="eastAsia" w:ascii="仿宋_GB2312" w:eastAsia="仿宋_GB2312"/>
          <w:sz w:val="32"/>
          <w:szCs w:val="32"/>
          <w:highlight w:val="none"/>
        </w:rPr>
        <w:t>(</w:t>
      </w:r>
      <w:r>
        <w:rPr>
          <w:rFonts w:hint="eastAsia" w:ascii="仿宋_GB2312" w:eastAsia="仿宋_GB2312"/>
          <w:sz w:val="32"/>
          <w:szCs w:val="32"/>
        </w:rPr>
        <w:t>见附图</w:t>
      </w:r>
      <w:r>
        <w:rPr>
          <w:rFonts w:hint="eastAsia" w:ascii="仿宋_GB2312" w:eastAsia="仿宋_GB2312"/>
          <w:sz w:val="32"/>
          <w:szCs w:val="32"/>
          <w:highlight w:val="none"/>
        </w:rPr>
        <w:t>)</w:t>
      </w:r>
      <w:r>
        <w:rPr>
          <w:rFonts w:hint="eastAsia" w:ascii="仿宋_GB2312" w:eastAsia="仿宋_GB2312"/>
          <w:sz w:val="32"/>
          <w:szCs w:val="32"/>
        </w:rPr>
        <w:t>。</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rPr>
        <w:t xml:space="preserve"> 二、土地征收补偿及安置标准</w:t>
      </w:r>
    </w:p>
    <w:p>
      <w:pPr>
        <w:spacing w:line="600" w:lineRule="exact"/>
        <w:ind w:firstLine="640" w:firstLineChars="200"/>
        <w:outlineLvl w:val="0"/>
        <w:rPr>
          <w:rFonts w:hint="eastAsia" w:ascii="方正楷体简体" w:eastAsia="方正楷体简体"/>
          <w:sz w:val="32"/>
          <w:szCs w:val="32"/>
        </w:rPr>
      </w:pPr>
      <w:bookmarkStart w:id="16" w:name="_Toc3312"/>
      <w:r>
        <w:rPr>
          <w:rFonts w:hint="eastAsia" w:ascii="楷体" w:hAnsi="楷体" w:eastAsia="楷体" w:cs="楷体"/>
          <w:sz w:val="32"/>
          <w:szCs w:val="32"/>
        </w:rPr>
        <w:t>（一）土地征收补偿标准</w:t>
      </w:r>
      <w:bookmarkEnd w:id="16"/>
    </w:p>
    <w:p>
      <w:pPr>
        <w:spacing w:line="600" w:lineRule="exact"/>
        <w:ind w:firstLine="640" w:firstLineChars="200"/>
        <w:rPr>
          <w:rFonts w:ascii="仿宋_GB2312" w:eastAsia="仿宋_GB2312"/>
          <w:sz w:val="32"/>
          <w:szCs w:val="32"/>
        </w:rPr>
      </w:pPr>
      <w:r>
        <w:rPr>
          <w:rFonts w:hint="eastAsia" w:ascii="仿宋_GB2312" w:eastAsia="仿宋_GB2312"/>
          <w:sz w:val="32"/>
          <w:szCs w:val="32"/>
        </w:rPr>
        <w:t>上述涉及被征地村集体土地补偿费、安置补助费、青苗补偿费和地上附着物</w:t>
      </w:r>
      <w:r>
        <w:rPr>
          <w:rFonts w:hint="eastAsia" w:ascii="仿宋_GB2312" w:eastAsia="仿宋_GB2312"/>
          <w:sz w:val="32"/>
          <w:szCs w:val="32"/>
          <w:highlight w:val="none"/>
        </w:rPr>
        <w:t>(</w:t>
      </w:r>
      <w:r>
        <w:rPr>
          <w:rFonts w:hint="eastAsia" w:ascii="仿宋_GB2312" w:eastAsia="仿宋_GB2312"/>
          <w:sz w:val="32"/>
          <w:szCs w:val="32"/>
        </w:rPr>
        <w:t>含坟墓</w:t>
      </w:r>
      <w:r>
        <w:rPr>
          <w:rFonts w:hint="eastAsia" w:ascii="仿宋_GB2312" w:eastAsia="仿宋_GB2312"/>
          <w:sz w:val="32"/>
          <w:szCs w:val="32"/>
          <w:highlight w:val="none"/>
        </w:rPr>
        <w:t>)</w:t>
      </w:r>
      <w:r>
        <w:rPr>
          <w:rFonts w:hint="eastAsia" w:ascii="仿宋_GB2312" w:eastAsia="仿宋_GB2312"/>
          <w:sz w:val="32"/>
          <w:szCs w:val="32"/>
        </w:rPr>
        <w:t>的补偿标准</w:t>
      </w:r>
      <w:r>
        <w:rPr>
          <w:rFonts w:hint="eastAsia" w:ascii="仿宋_GB2312" w:eastAsia="仿宋_GB2312"/>
          <w:sz w:val="32"/>
          <w:szCs w:val="32"/>
          <w:lang w:val="en-US" w:eastAsia="zh-CN"/>
        </w:rPr>
        <w:t>参照河源市高铁新城土地征收补偿安置方案</w:t>
      </w:r>
      <w:r>
        <w:rPr>
          <w:rFonts w:hint="eastAsia" w:ascii="仿宋_GB2312" w:eastAsia="仿宋_GB2312"/>
          <w:sz w:val="32"/>
          <w:szCs w:val="32"/>
          <w:highlight w:val="none"/>
        </w:rPr>
        <w:t>(</w:t>
      </w:r>
      <w:r>
        <w:rPr>
          <w:rFonts w:hint="eastAsia" w:ascii="仿宋_GB2312" w:eastAsia="仿宋_GB2312"/>
          <w:sz w:val="32"/>
          <w:szCs w:val="32"/>
        </w:rPr>
        <w:t>见附件1-1</w:t>
      </w:r>
      <w:r>
        <w:rPr>
          <w:rFonts w:hint="eastAsia" w:ascii="仿宋_GB2312" w:eastAsia="仿宋_GB2312"/>
          <w:sz w:val="32"/>
          <w:szCs w:val="32"/>
          <w:lang w:eastAsia="zh-CN"/>
        </w:rPr>
        <w:t>、</w:t>
      </w:r>
      <w:r>
        <w:rPr>
          <w:rFonts w:hint="eastAsia" w:ascii="仿宋_GB2312" w:eastAsia="仿宋_GB2312"/>
          <w:sz w:val="32"/>
          <w:szCs w:val="32"/>
          <w:lang w:val="en-US" w:eastAsia="zh-CN"/>
        </w:rPr>
        <w:t>1-2、1-3</w:t>
      </w:r>
      <w:r>
        <w:rPr>
          <w:rFonts w:hint="eastAsia" w:ascii="仿宋_GB2312" w:eastAsia="仿宋_GB2312"/>
          <w:sz w:val="32"/>
          <w:szCs w:val="32"/>
          <w:highlight w:val="none"/>
        </w:rPr>
        <w:t>)</w:t>
      </w:r>
      <w:r>
        <w:rPr>
          <w:rFonts w:hint="eastAsia" w:ascii="仿宋_GB2312" w:eastAsia="仿宋_GB2312"/>
          <w:sz w:val="32"/>
          <w:szCs w:val="32"/>
        </w:rPr>
        <w:t>。</w:t>
      </w:r>
    </w:p>
    <w:p>
      <w:pPr>
        <w:spacing w:line="600" w:lineRule="exact"/>
        <w:ind w:firstLine="640" w:firstLineChars="200"/>
        <w:outlineLvl w:val="0"/>
        <w:rPr>
          <w:rFonts w:hint="eastAsia" w:ascii="方正楷体简体" w:eastAsia="方正楷体简体"/>
          <w:sz w:val="32"/>
          <w:szCs w:val="32"/>
        </w:rPr>
      </w:pPr>
      <w:bookmarkStart w:id="17" w:name="_Toc13683"/>
      <w:r>
        <w:rPr>
          <w:rFonts w:hint="eastAsia" w:ascii="楷体" w:hAnsi="楷体" w:eastAsia="楷体" w:cs="楷体"/>
          <w:sz w:val="32"/>
          <w:szCs w:val="32"/>
        </w:rPr>
        <w:t>（二）土地征收安置</w:t>
      </w:r>
      <w:bookmarkEnd w:id="17"/>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农村集体留用地按《广东省人民政府办公厅关于加强征收农村集体土地留用地安置管理工作的意见》</w:t>
      </w:r>
      <w:r>
        <w:rPr>
          <w:rFonts w:hint="eastAsia" w:ascii="仿宋_GB2312" w:eastAsia="仿宋_GB2312"/>
          <w:sz w:val="32"/>
          <w:szCs w:val="32"/>
          <w:highlight w:val="none"/>
        </w:rPr>
        <w:t>(</w:t>
      </w:r>
      <w:r>
        <w:rPr>
          <w:rFonts w:hint="eastAsia" w:ascii="仿宋_GB2312" w:eastAsia="仿宋_GB2312"/>
          <w:sz w:val="32"/>
          <w:szCs w:val="32"/>
        </w:rPr>
        <w:t>粤府办</w:t>
      </w:r>
      <w:r>
        <w:rPr>
          <w:rFonts w:hint="eastAsia" w:ascii="仿宋_GB2312" w:eastAsia="仿宋_GB2312"/>
          <w:sz w:val="32"/>
          <w:szCs w:val="32"/>
          <w:highlight w:val="none"/>
        </w:rPr>
        <w:t>(</w:t>
      </w:r>
      <w:r>
        <w:rPr>
          <w:rFonts w:hint="eastAsia" w:ascii="仿宋_GB2312" w:eastAsia="仿宋_GB2312"/>
          <w:sz w:val="32"/>
          <w:szCs w:val="32"/>
        </w:rPr>
        <w:t>[2016]30号</w:t>
      </w:r>
      <w:r>
        <w:rPr>
          <w:rFonts w:hint="eastAsia" w:ascii="仿宋_GB2312" w:eastAsia="仿宋_GB2312"/>
          <w:sz w:val="32"/>
          <w:szCs w:val="32"/>
          <w:highlight w:val="none"/>
        </w:rPr>
        <w:t>)</w:t>
      </w:r>
      <w:r>
        <w:rPr>
          <w:rFonts w:hint="eastAsia" w:ascii="仿宋_GB2312" w:eastAsia="仿宋_GB2312"/>
          <w:sz w:val="32"/>
          <w:szCs w:val="32"/>
        </w:rPr>
        <w:t>执行。</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1.留用地以被征地农村集体经济组织的名义进行登记，不得以个人名义登记。</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2.鼓励留用地开发建设为经营性物业。村集体组织可通过自主开发、合资合作的方式将留用地建设为经营性物业，形成收益稳定的农村集体资产。</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3.鼓励实行留用地置换物业。</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4.留用地折算货币补偿标准，留用地折算货币补偿标准不低于所在地相对应《全国工业用地出让最低价标准》的70%。被征地农民养老保障按《广东省人民政府转发省人力资源和社会保障厅关于进一步做好我省被征地农民养老保障工作意见的通知》</w:t>
      </w:r>
      <w:r>
        <w:rPr>
          <w:rFonts w:hint="eastAsia" w:ascii="仿宋_GB2312" w:eastAsia="仿宋_GB2312"/>
          <w:sz w:val="32"/>
          <w:szCs w:val="32"/>
          <w:highlight w:val="none"/>
        </w:rPr>
        <w:t>(</w:t>
      </w:r>
      <w:r>
        <w:rPr>
          <w:rFonts w:hint="eastAsia" w:ascii="仿宋_GB2312" w:eastAsia="仿宋_GB2312"/>
          <w:sz w:val="32"/>
          <w:szCs w:val="32"/>
        </w:rPr>
        <w:t>粤府办〔2010〕41号</w:t>
      </w:r>
      <w:r>
        <w:rPr>
          <w:rFonts w:hint="eastAsia" w:ascii="仿宋_GB2312" w:eastAsia="仿宋_GB2312"/>
          <w:sz w:val="32"/>
          <w:szCs w:val="32"/>
          <w:highlight w:val="none"/>
        </w:rPr>
        <w:t>)</w:t>
      </w:r>
      <w:r>
        <w:rPr>
          <w:rFonts w:hint="eastAsia" w:ascii="仿宋_GB2312" w:eastAsia="仿宋_GB2312"/>
          <w:sz w:val="32"/>
          <w:szCs w:val="32"/>
        </w:rPr>
        <w:t>执行。</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rPr>
        <w:t>三、土地征收实施步骤</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该项目</w:t>
      </w:r>
      <w:r>
        <w:rPr>
          <w:rFonts w:hint="eastAsia" w:ascii="仿宋_GB2312" w:eastAsia="仿宋_GB2312"/>
          <w:sz w:val="32"/>
          <w:szCs w:val="32"/>
        </w:rPr>
        <w:t>按照以下程序开展土地征收工作:</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1.发布征收土地公告</w:t>
      </w:r>
      <w:r>
        <w:rPr>
          <w:rFonts w:hint="eastAsia" w:ascii="仿宋_GB2312" w:eastAsia="仿宋_GB2312"/>
          <w:sz w:val="32"/>
          <w:szCs w:val="32"/>
          <w:lang w:eastAsia="zh-CN"/>
        </w:rPr>
        <w:t>。</w:t>
      </w:r>
      <w:r>
        <w:rPr>
          <w:rFonts w:hint="eastAsia" w:ascii="仿宋_GB2312" w:eastAsia="仿宋_GB2312"/>
          <w:sz w:val="32"/>
          <w:szCs w:val="32"/>
        </w:rPr>
        <w:t>在</w:t>
      </w:r>
      <w:r>
        <w:rPr>
          <w:rFonts w:hint="eastAsia" w:ascii="仿宋_GB2312" w:eastAsia="仿宋_GB2312"/>
          <w:color w:val="000000" w:themeColor="text1"/>
          <w:sz w:val="32"/>
          <w:szCs w:val="32"/>
          <w:lang w:val="en-US" w:eastAsia="zh-CN"/>
          <w14:textFill>
            <w14:solidFill>
              <w14:schemeClr w14:val="tx1"/>
            </w14:solidFill>
          </w14:textFill>
        </w:rPr>
        <w:t>临江镇梧峰村、年丰村、澄岭村、联新村、禾坑村、桂林村</w:t>
      </w:r>
      <w:r>
        <w:rPr>
          <w:rFonts w:hint="eastAsia" w:ascii="仿宋_GB2312" w:eastAsia="仿宋_GB2312"/>
          <w:sz w:val="32"/>
          <w:szCs w:val="32"/>
        </w:rPr>
        <w:t>村委会,新区</w:t>
      </w:r>
      <w:r>
        <w:rPr>
          <w:rFonts w:hint="eastAsia" w:ascii="仿宋_GB2312" w:eastAsia="仿宋_GB2312"/>
          <w:sz w:val="32"/>
          <w:szCs w:val="32"/>
          <w:lang w:val="en-US" w:eastAsia="zh-CN"/>
        </w:rPr>
        <w:t>自然资源和城乡规划</w:t>
      </w:r>
      <w:r>
        <w:rPr>
          <w:rFonts w:hint="eastAsia" w:ascii="仿宋_GB2312" w:eastAsia="仿宋_GB2312"/>
          <w:sz w:val="32"/>
          <w:szCs w:val="32"/>
        </w:rPr>
        <w:t>局等办公地点，发布征收土地公告。</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2.发布征地补偿、安置方案的公告。在</w:t>
      </w:r>
      <w:r>
        <w:rPr>
          <w:rFonts w:hint="eastAsia" w:ascii="仿宋_GB2312" w:eastAsia="仿宋_GB2312"/>
          <w:color w:val="000000" w:themeColor="text1"/>
          <w:sz w:val="32"/>
          <w:szCs w:val="32"/>
          <w:lang w:val="en-US" w:eastAsia="zh-CN"/>
          <w14:textFill>
            <w14:solidFill>
              <w14:schemeClr w14:val="tx1"/>
            </w14:solidFill>
          </w14:textFill>
        </w:rPr>
        <w:t>临江镇梧峰村、年丰村、澄岭村、联新村、禾坑村、桂林村</w:t>
      </w:r>
      <w:r>
        <w:rPr>
          <w:rFonts w:hint="eastAsia" w:ascii="仿宋_GB2312" w:eastAsia="仿宋_GB2312"/>
          <w:sz w:val="32"/>
          <w:szCs w:val="32"/>
        </w:rPr>
        <w:t>村委会,新区</w:t>
      </w:r>
      <w:r>
        <w:rPr>
          <w:rFonts w:hint="eastAsia" w:ascii="仿宋_GB2312" w:eastAsia="仿宋_GB2312"/>
          <w:sz w:val="32"/>
          <w:szCs w:val="32"/>
          <w:lang w:val="en-US" w:eastAsia="zh-CN"/>
        </w:rPr>
        <w:t>自然资源和城乡规划</w:t>
      </w:r>
      <w:r>
        <w:rPr>
          <w:rFonts w:hint="eastAsia" w:ascii="仿宋_GB2312" w:eastAsia="仿宋_GB2312"/>
          <w:sz w:val="32"/>
          <w:szCs w:val="32"/>
        </w:rPr>
        <w:t>局等办公地点,发布土地征地补偿安置方案。</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3.办理补偿登记。被征收土地的所有权人、使用权人应当在公告规定的期限内，持土地权属证书办理征地补偿登记。</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4.实地丈量土地面积，清点地上附着物。经核实后，在本村委会张榜公示。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5.签订征地协议。经张榜公示无异议，签订征地协议。</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6.实施征地、交付土地。根据征地补偿安置方案确定的标准，及时足额地支付给被征地的农民和村集体经济组织，按时交付土地。</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rPr>
        <w:t>四、个案处理原则</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涉及土地租赁的，土地补偿款、待征后续保障归土地原有使用权人，地上附着物归实际投资方。涉及集体待征后续保障归土地原生产队所有。涉及国有建设用地的，以评估价值为准，国有农用地参照集体农用地标准执行。</w:t>
      </w:r>
    </w:p>
    <w:p>
      <w:pPr>
        <w:spacing w:line="600" w:lineRule="exact"/>
        <w:ind w:firstLine="640" w:firstLineChars="200"/>
        <w:rPr>
          <w:rFonts w:ascii="仿宋_GB2312" w:eastAsia="仿宋_GB2312"/>
          <w:sz w:val="32"/>
          <w:szCs w:val="32"/>
        </w:rPr>
      </w:pPr>
    </w:p>
    <w:p>
      <w:pPr>
        <w:spacing w:line="600" w:lineRule="exact"/>
        <w:ind w:firstLine="640" w:firstLineChars="200"/>
        <w:outlineLvl w:val="0"/>
        <w:rPr>
          <w:rFonts w:hint="eastAsia" w:ascii="仿宋_GB2312" w:eastAsia="仿宋_GB2312"/>
          <w:sz w:val="32"/>
          <w:szCs w:val="32"/>
        </w:rPr>
      </w:pPr>
      <w:bookmarkStart w:id="18" w:name="_Toc11028"/>
      <w:r>
        <w:rPr>
          <w:rFonts w:hint="eastAsia" w:ascii="仿宋_GB2312" w:eastAsia="仿宋_GB2312"/>
          <w:sz w:val="32"/>
          <w:szCs w:val="32"/>
        </w:rPr>
        <w:t>附件1-1</w:t>
      </w:r>
      <w:r>
        <w:rPr>
          <w:rFonts w:hint="eastAsia" w:ascii="仿宋_GB2312" w:eastAsia="仿宋_GB2312"/>
          <w:sz w:val="32"/>
          <w:szCs w:val="32"/>
          <w:lang w:eastAsia="zh-CN"/>
        </w:rPr>
        <w:t>：</w:t>
      </w:r>
      <w:r>
        <w:rPr>
          <w:rFonts w:hint="eastAsia" w:ascii="仿宋_GB2312" w:eastAsia="仿宋_GB2312"/>
          <w:sz w:val="32"/>
          <w:szCs w:val="32"/>
        </w:rPr>
        <w:t>河源市</w:t>
      </w:r>
      <w:r>
        <w:rPr>
          <w:rFonts w:hint="eastAsia" w:ascii="仿宋_GB2312" w:eastAsia="仿宋_GB2312"/>
          <w:sz w:val="32"/>
          <w:szCs w:val="32"/>
          <w:lang w:val="en-US" w:eastAsia="zh-CN"/>
        </w:rPr>
        <w:t>G205国道东移项目江东新区（临江段）</w:t>
      </w:r>
      <w:r>
        <w:rPr>
          <w:rFonts w:hint="eastAsia" w:ascii="仿宋_GB2312" w:eastAsia="仿宋_GB2312"/>
          <w:sz w:val="32"/>
          <w:szCs w:val="32"/>
        </w:rPr>
        <w:t>土地征收补偿标准</w:t>
      </w:r>
      <w:bookmarkEnd w:id="18"/>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附件</w:t>
      </w:r>
      <w:r>
        <w:rPr>
          <w:rFonts w:hint="eastAsia" w:ascii="仿宋_GB2312" w:eastAsia="仿宋_GB2312"/>
          <w:sz w:val="32"/>
          <w:szCs w:val="32"/>
        </w:rPr>
        <w:t>1-2</w:t>
      </w:r>
      <w:r>
        <w:rPr>
          <w:rFonts w:hint="eastAsia" w:ascii="仿宋_GB2312" w:eastAsia="仿宋_GB2312"/>
          <w:sz w:val="32"/>
          <w:szCs w:val="32"/>
          <w:lang w:eastAsia="zh-CN"/>
        </w:rPr>
        <w:t>：</w:t>
      </w:r>
      <w:r>
        <w:rPr>
          <w:rFonts w:hint="eastAsia" w:ascii="仿宋_GB2312" w:eastAsia="仿宋_GB2312"/>
          <w:sz w:val="32"/>
          <w:szCs w:val="32"/>
        </w:rPr>
        <w:t>河源市</w:t>
      </w:r>
      <w:r>
        <w:rPr>
          <w:rFonts w:hint="eastAsia" w:ascii="仿宋_GB2312" w:eastAsia="仿宋_GB2312"/>
          <w:sz w:val="32"/>
          <w:szCs w:val="32"/>
          <w:lang w:val="en-US" w:eastAsia="zh-CN"/>
        </w:rPr>
        <w:t>G205国道东移项目江东新区（临江段）</w:t>
      </w:r>
      <w:r>
        <w:rPr>
          <w:rFonts w:hint="eastAsia" w:ascii="仿宋_GB2312" w:eastAsia="仿宋_GB2312"/>
          <w:sz w:val="32"/>
          <w:szCs w:val="32"/>
        </w:rPr>
        <w:t>坟墓征收补偿标准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附件</w:t>
      </w:r>
      <w:r>
        <w:rPr>
          <w:rFonts w:hint="eastAsia" w:ascii="仿宋_GB2312" w:eastAsia="仿宋_GB2312"/>
          <w:sz w:val="32"/>
          <w:szCs w:val="32"/>
        </w:rPr>
        <w:t>1-3</w:t>
      </w:r>
      <w:r>
        <w:rPr>
          <w:rFonts w:hint="eastAsia" w:ascii="仿宋_GB2312" w:eastAsia="仿宋_GB2312"/>
          <w:sz w:val="32"/>
          <w:szCs w:val="32"/>
          <w:lang w:eastAsia="zh-CN"/>
        </w:rPr>
        <w:t>：</w:t>
      </w:r>
      <w:r>
        <w:rPr>
          <w:rFonts w:hint="eastAsia" w:ascii="仿宋_GB2312" w:eastAsia="仿宋_GB2312"/>
          <w:sz w:val="32"/>
          <w:szCs w:val="32"/>
        </w:rPr>
        <w:t>河源市</w:t>
      </w:r>
      <w:r>
        <w:rPr>
          <w:rFonts w:hint="eastAsia" w:ascii="仿宋_GB2312" w:eastAsia="仿宋_GB2312"/>
          <w:sz w:val="32"/>
          <w:szCs w:val="32"/>
          <w:lang w:val="en-US" w:eastAsia="zh-CN"/>
        </w:rPr>
        <w:t>G205国道东移项目江东新区（临江段）</w:t>
      </w:r>
      <w:r>
        <w:rPr>
          <w:rFonts w:hint="eastAsia" w:ascii="仿宋_GB2312" w:eastAsia="仿宋_GB2312"/>
          <w:sz w:val="32"/>
          <w:szCs w:val="32"/>
        </w:rPr>
        <w:t>果树竹木征收补偿标准</w:t>
      </w:r>
    </w:p>
    <w:p>
      <w:pPr>
        <w:spacing w:line="600" w:lineRule="exact"/>
        <w:outlineLvl w:val="0"/>
        <w:rPr>
          <w:rFonts w:hint="eastAsia" w:ascii="仿宋_GB2312" w:eastAsia="仿宋_GB2312"/>
          <w:spacing w:val="-20"/>
          <w:sz w:val="32"/>
          <w:szCs w:val="32"/>
        </w:rPr>
      </w:pPr>
      <w:r>
        <w:rPr>
          <w:rFonts w:ascii="仿宋_GB2312" w:eastAsia="仿宋_GB2312"/>
          <w:sz w:val="32"/>
          <w:szCs w:val="32"/>
        </w:rPr>
        <w:br w:type="page"/>
      </w:r>
      <w:bookmarkStart w:id="19" w:name="_Toc8737"/>
      <w:r>
        <w:rPr>
          <w:rFonts w:hint="eastAsia" w:ascii="黑体" w:hAnsi="黑体" w:eastAsia="黑体" w:cs="黑体"/>
          <w:spacing w:val="-20"/>
          <w:sz w:val="32"/>
          <w:szCs w:val="32"/>
        </w:rPr>
        <w:t>附件1-1</w:t>
      </w:r>
      <w:bookmarkEnd w:id="19"/>
    </w:p>
    <w:p>
      <w:pPr>
        <w:spacing w:line="600" w:lineRule="exact"/>
        <w:jc w:val="center"/>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河源市G205国道东移项目江东新区（临江段）土地征收补偿标准</w:t>
      </w:r>
    </w:p>
    <w:p>
      <w:pPr>
        <w:numPr>
          <w:ilvl w:val="0"/>
          <w:numId w:val="2"/>
        </w:numPr>
        <w:spacing w:line="600" w:lineRule="exact"/>
        <w:ind w:firstLine="640" w:firstLineChars="200"/>
        <w:rPr>
          <w:rFonts w:hint="eastAsia" w:ascii="黑体" w:hAnsi="黑体" w:eastAsia="黑体"/>
          <w:sz w:val="32"/>
          <w:szCs w:val="32"/>
        </w:rPr>
      </w:pPr>
      <w:r>
        <w:rPr>
          <w:rFonts w:hint="eastAsia" w:ascii="黑体" w:hAnsi="黑体" w:eastAsia="黑体"/>
          <w:sz w:val="32"/>
          <w:szCs w:val="32"/>
        </w:rPr>
        <w:t>耕地补偿标准52700 元/</w:t>
      </w:r>
      <w:bookmarkStart w:id="37" w:name="_GoBack"/>
      <w:bookmarkEnd w:id="37"/>
      <w:r>
        <w:rPr>
          <w:rFonts w:hint="eastAsia" w:ascii="黑体" w:hAnsi="黑体" w:eastAsia="黑体"/>
          <w:sz w:val="32"/>
          <w:szCs w:val="32"/>
        </w:rPr>
        <w:t>亩</w:t>
      </w:r>
      <w:r>
        <w:rPr>
          <w:rFonts w:hint="eastAsia" w:ascii="黑体" w:hAnsi="黑体" w:eastAsia="黑体"/>
          <w:sz w:val="32"/>
          <w:szCs w:val="32"/>
          <w:lang w:eastAsia="zh-CN"/>
        </w:rPr>
        <w:t>（</w:t>
      </w:r>
      <w:r>
        <w:rPr>
          <w:rFonts w:hint="eastAsia" w:ascii="黑体" w:hAnsi="黑体" w:eastAsia="黑体"/>
          <w:sz w:val="32"/>
          <w:szCs w:val="32"/>
          <w:lang w:val="en-US" w:eastAsia="zh-CN"/>
        </w:rPr>
        <w:t>含土地补偿和安置补助</w:t>
      </w:r>
      <w:r>
        <w:rPr>
          <w:rFonts w:hint="eastAsia" w:ascii="黑体" w:hAnsi="黑体" w:eastAsia="黑体"/>
          <w:sz w:val="32"/>
          <w:szCs w:val="32"/>
          <w:lang w:eastAsia="zh-CN"/>
        </w:rPr>
        <w:t>）</w:t>
      </w:r>
    </w:p>
    <w:p>
      <w:pPr>
        <w:numPr>
          <w:ilvl w:val="0"/>
          <w:numId w:val="2"/>
        </w:numPr>
        <w:spacing w:line="600" w:lineRule="exact"/>
        <w:ind w:left="0" w:leftChars="0" w:firstLine="640" w:firstLineChars="200"/>
        <w:rPr>
          <w:rFonts w:hint="eastAsia" w:ascii="黑体" w:hAnsi="黑体" w:eastAsia="黑体"/>
          <w:sz w:val="32"/>
          <w:szCs w:val="32"/>
        </w:rPr>
      </w:pPr>
      <w:r>
        <w:rPr>
          <w:rFonts w:hint="eastAsia" w:ascii="黑体" w:hAnsi="黑体" w:eastAsia="黑体"/>
          <w:sz w:val="32"/>
          <w:szCs w:val="32"/>
        </w:rPr>
        <w:t>山地补偿标准: 28600 元/亩</w:t>
      </w:r>
      <w:r>
        <w:rPr>
          <w:rFonts w:hint="eastAsia" w:ascii="黑体" w:hAnsi="黑体" w:eastAsia="黑体"/>
          <w:sz w:val="32"/>
          <w:szCs w:val="32"/>
          <w:lang w:eastAsia="zh-CN"/>
        </w:rPr>
        <w:t>（</w:t>
      </w:r>
      <w:r>
        <w:rPr>
          <w:rFonts w:hint="eastAsia" w:ascii="黑体" w:hAnsi="黑体" w:eastAsia="黑体"/>
          <w:sz w:val="32"/>
          <w:szCs w:val="32"/>
          <w:lang w:val="en-US" w:eastAsia="zh-CN"/>
        </w:rPr>
        <w:t>含土地补偿和安置补助</w:t>
      </w:r>
      <w:r>
        <w:rPr>
          <w:rFonts w:hint="eastAsia" w:ascii="黑体" w:hAnsi="黑体" w:eastAsia="黑体"/>
          <w:sz w:val="32"/>
          <w:szCs w:val="32"/>
          <w:lang w:eastAsia="zh-CN"/>
        </w:rPr>
        <w:t>）</w:t>
      </w:r>
    </w:p>
    <w:p>
      <w:pPr>
        <w:numPr>
          <w:ilvl w:val="0"/>
          <w:numId w:val="2"/>
        </w:numPr>
        <w:spacing w:line="600" w:lineRule="exact"/>
        <w:ind w:left="0" w:leftChars="0" w:firstLine="640" w:firstLineChars="200"/>
        <w:rPr>
          <w:rFonts w:hint="eastAsia" w:ascii="黑体" w:hAnsi="黑体" w:eastAsia="黑体" w:cs="黑体"/>
          <w:bCs/>
          <w:sz w:val="32"/>
          <w:szCs w:val="32"/>
        </w:rPr>
      </w:pPr>
      <w:r>
        <w:rPr>
          <w:rFonts w:hint="eastAsia" w:ascii="黑体" w:hAnsi="黑体" w:eastAsia="黑体"/>
          <w:sz w:val="32"/>
          <w:szCs w:val="32"/>
        </w:rPr>
        <w:t>水面养殖补偿标准: 56266 元/亩</w:t>
      </w:r>
      <w:r>
        <w:rPr>
          <w:rFonts w:hint="eastAsia" w:ascii="黑体" w:hAnsi="黑体" w:eastAsia="黑体" w:cs="黑体"/>
          <w:bCs/>
          <w:sz w:val="32"/>
          <w:szCs w:val="32"/>
        </w:rPr>
        <w:t>（含土地补偿和安置补助）</w:t>
      </w:r>
    </w:p>
    <w:p>
      <w:pPr>
        <w:spacing w:line="600" w:lineRule="exact"/>
        <w:ind w:firstLine="640" w:firstLineChars="200"/>
        <w:rPr>
          <w:rFonts w:hint="eastAsia" w:ascii="黑体" w:hAnsi="黑体" w:eastAsia="黑体" w:cs="黑体"/>
          <w:bCs/>
          <w:sz w:val="32"/>
          <w:szCs w:val="32"/>
        </w:rPr>
      </w:pPr>
      <w:r>
        <w:rPr>
          <w:rFonts w:hint="eastAsia" w:ascii="黑体" w:hAnsi="黑体" w:eastAsia="黑体"/>
          <w:sz w:val="32"/>
          <w:szCs w:val="32"/>
        </w:rPr>
        <w:t>四、开荒地补偿标准:土地补偿46000元/亩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pacing w:val="-20"/>
          <w:sz w:val="32"/>
          <w:szCs w:val="32"/>
        </w:rPr>
      </w:pPr>
      <w:r>
        <w:rPr>
          <w:rFonts w:hint="eastAsia" w:ascii="黑体" w:hAnsi="黑体" w:eastAsia="黑体"/>
          <w:sz w:val="32"/>
          <w:szCs w:val="32"/>
        </w:rPr>
        <w:t xml:space="preserve">五、园地补偿标准: </w:t>
      </w:r>
      <w:r>
        <w:rPr>
          <w:rFonts w:hint="eastAsia" w:ascii="黑体" w:hAnsi="黑体" w:eastAsia="黑体" w:cs="黑体"/>
          <w:bCs/>
          <w:sz w:val="32"/>
          <w:szCs w:val="32"/>
        </w:rPr>
        <w:t>48650</w:t>
      </w:r>
      <w:r>
        <w:rPr>
          <w:rFonts w:hint="eastAsia" w:ascii="黑体" w:hAnsi="黑体" w:eastAsia="黑体"/>
          <w:sz w:val="32"/>
          <w:szCs w:val="32"/>
        </w:rPr>
        <w:t>元/亩</w:t>
      </w:r>
      <w:r>
        <w:rPr>
          <w:rFonts w:hint="eastAsia" w:ascii="黑体" w:hAnsi="黑体" w:eastAsia="黑体" w:cs="黑体"/>
          <w:bCs/>
          <w:sz w:val="32"/>
          <w:szCs w:val="32"/>
        </w:rPr>
        <w:t>（含土地补偿和安置补助）</w:t>
      </w:r>
    </w:p>
    <w:p>
      <w:pPr>
        <w:spacing w:line="600" w:lineRule="exact"/>
        <w:rPr>
          <w:rFonts w:hint="eastAsia" w:ascii="仿宋_GB2312" w:eastAsia="仿宋_GB2312"/>
          <w:sz w:val="32"/>
          <w:szCs w:val="32"/>
        </w:rPr>
      </w:pPr>
      <w:r>
        <w:rPr>
          <w:rFonts w:hint="eastAsia" w:ascii="仿宋_GB2312" w:eastAsia="仿宋_GB2312"/>
          <w:sz w:val="32"/>
          <w:szCs w:val="32"/>
        </w:rPr>
        <w:t>注: 1.征地地类以现场勘测的现状地类为准。</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2.耕地中成片种植的一般农作物按每年的价值补偿，经济作物3000元/年，一般作物1400元/年，果树或者其他植物的，青苗补偿费按相应的补偿标准计算。</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3.补偿标准不足以支付迁移费用的大型花木场、苗圃场（面积超过2亩），经征地组织单位批准后可委托有资质的中介机构评估后协商确定。</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4.征收农村集体所有的农村道路、广场、晒谷场及房前屋后余坪、水渠等直接服务农村、农业和农民</w:t>
      </w:r>
      <w:r>
        <w:rPr>
          <w:rFonts w:hint="eastAsia" w:ascii="仿宋_GB2312" w:eastAsia="仿宋_GB2312"/>
          <w:sz w:val="32"/>
          <w:szCs w:val="32"/>
          <w:highlight w:val="none"/>
        </w:rPr>
        <w:t>的设施</w:t>
      </w:r>
      <w:r>
        <w:rPr>
          <w:rFonts w:hint="eastAsia" w:ascii="仿宋_GB2312" w:eastAsia="仿宋_GB2312"/>
          <w:sz w:val="32"/>
          <w:szCs w:val="32"/>
        </w:rPr>
        <w:t>用地按原地类用地补偿；征收具有合法用地建设用地补偿：征收具有合法用地手续集体建设用地及宅基地可委托资质评估公司评估后协商补偿。</w:t>
      </w:r>
      <w:r>
        <w:rPr>
          <w:rFonts w:hint="eastAsia" w:ascii="仿宋_GB2312" w:eastAsia="仿宋_GB2312"/>
          <w:sz w:val="32"/>
          <w:szCs w:val="32"/>
        </w:rPr>
        <w:br w:type="textWrapping"/>
      </w:r>
      <w:r>
        <w:rPr>
          <w:rFonts w:hint="eastAsia" w:ascii="仿宋_GB2312" w:eastAsia="仿宋_GB2312"/>
          <w:sz w:val="32"/>
          <w:szCs w:val="32"/>
        </w:rPr>
        <w:t xml:space="preserve">    5.收回的国有农场、林场等农用地，其补偿标准参照征收集体用地标准执行。</w:t>
      </w:r>
      <w:r>
        <w:rPr>
          <w:rFonts w:hint="eastAsia" w:ascii="仿宋_GB2312" w:eastAsia="仿宋_GB2312"/>
          <w:sz w:val="32"/>
          <w:szCs w:val="32"/>
        </w:rPr>
        <w:br w:type="textWrapping"/>
      </w:r>
      <w:r>
        <w:rPr>
          <w:rFonts w:hint="eastAsia" w:ascii="仿宋_GB2312" w:eastAsia="仿宋_GB2312"/>
          <w:sz w:val="32"/>
          <w:szCs w:val="32"/>
        </w:rPr>
        <w:t xml:space="preserve">    6.被征收集体土地上附属设施及其他附着物，有补偿标准规定的按照有关规定进行补偿，无规定参照类似种类标准实施或委托有资质中介机构评估后确定补偿。</w:t>
      </w:r>
      <w:r>
        <w:rPr>
          <w:rFonts w:hint="eastAsia" w:ascii="仿宋_GB2312" w:eastAsia="仿宋_GB2312"/>
          <w:sz w:val="32"/>
          <w:szCs w:val="32"/>
        </w:rPr>
        <w:br w:type="textWrapping"/>
      </w:r>
      <w:r>
        <w:rPr>
          <w:rFonts w:hint="eastAsia" w:ascii="仿宋_GB2312" w:eastAsia="仿宋_GB2312"/>
          <w:sz w:val="32"/>
          <w:szCs w:val="32"/>
        </w:rPr>
        <w:t xml:space="preserve">    7.土地征收预公告后，任何单位和个人在拟征地范围内各种抢栽、抢种的青苗和抢搭、抢建的建</w:t>
      </w:r>
      <w:r>
        <w:rPr>
          <w:rFonts w:hint="eastAsia" w:ascii="仿宋_GB2312" w:eastAsia="仿宋_GB2312"/>
          <w:sz w:val="32"/>
          <w:szCs w:val="32"/>
          <w:highlight w:val="none"/>
        </w:rPr>
        <w:t>(</w:t>
      </w:r>
      <w:r>
        <w:rPr>
          <w:rFonts w:hint="eastAsia" w:ascii="仿宋_GB2312" w:eastAsia="仿宋_GB2312"/>
          <w:sz w:val="32"/>
          <w:szCs w:val="32"/>
        </w:rPr>
        <w:t>构</w:t>
      </w:r>
      <w:r>
        <w:rPr>
          <w:rFonts w:hint="eastAsia" w:ascii="仿宋_GB2312" w:eastAsia="仿宋_GB2312"/>
          <w:sz w:val="32"/>
          <w:szCs w:val="32"/>
          <w:highlight w:val="none"/>
        </w:rPr>
        <w:t>)</w:t>
      </w:r>
      <w:r>
        <w:rPr>
          <w:rFonts w:hint="eastAsia" w:ascii="仿宋_GB2312" w:eastAsia="仿宋_GB2312"/>
          <w:sz w:val="32"/>
          <w:szCs w:val="32"/>
        </w:rPr>
        <w:t>筑物一律不予补偿。</w:t>
      </w:r>
    </w:p>
    <w:p>
      <w:pPr>
        <w:spacing w:line="600" w:lineRule="exact"/>
        <w:ind w:firstLine="640" w:firstLineChars="200"/>
        <w:rPr>
          <w:rFonts w:ascii="仿宋_GB2312" w:eastAsia="仿宋_GB2312"/>
          <w:sz w:val="32"/>
          <w:szCs w:val="32"/>
        </w:rPr>
      </w:pPr>
    </w:p>
    <w:p>
      <w:pPr>
        <w:spacing w:line="600" w:lineRule="exact"/>
        <w:outlineLvl w:val="0"/>
        <w:rPr>
          <w:rFonts w:hint="eastAsia" w:ascii="仿宋_GB2312" w:eastAsia="仿宋_GB2312"/>
          <w:sz w:val="32"/>
          <w:szCs w:val="32"/>
        </w:rPr>
      </w:pPr>
      <w:r>
        <w:rPr>
          <w:rFonts w:ascii="仿宋_GB2312" w:eastAsia="仿宋_GB2312"/>
          <w:sz w:val="32"/>
          <w:szCs w:val="32"/>
        </w:rPr>
        <w:br w:type="page"/>
      </w:r>
      <w:bookmarkStart w:id="20" w:name="_Toc1241"/>
      <w:r>
        <w:rPr>
          <w:rFonts w:hint="eastAsia" w:ascii="黑体" w:hAnsi="黑体" w:eastAsia="黑体" w:cs="黑体"/>
          <w:sz w:val="32"/>
          <w:szCs w:val="32"/>
        </w:rPr>
        <w:t>附件1-2</w:t>
      </w:r>
      <w:bookmarkEnd w:id="20"/>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河源市</w:t>
      </w:r>
      <w:r>
        <w:rPr>
          <w:rFonts w:hint="eastAsia" w:ascii="方正小标宋简体" w:eastAsia="方正小标宋简体"/>
          <w:sz w:val="44"/>
          <w:szCs w:val="44"/>
          <w:lang w:val="en-US" w:eastAsia="zh-CN"/>
        </w:rPr>
        <w:t>G205国道江东新区（临江段）</w:t>
      </w:r>
      <w:r>
        <w:rPr>
          <w:rFonts w:hint="eastAsia" w:ascii="方正小标宋简体" w:eastAsia="方正小标宋简体"/>
          <w:sz w:val="44"/>
          <w:szCs w:val="44"/>
        </w:rPr>
        <w:t>坟墓征收补偿标准</w:t>
      </w:r>
    </w:p>
    <w:p>
      <w:pPr>
        <w:spacing w:line="600" w:lineRule="exact"/>
        <w:ind w:firstLine="640" w:firstLineChars="200"/>
        <w:rPr>
          <w:rFonts w:ascii="仿宋_GB2312" w:eastAsia="仿宋_GB2312"/>
          <w:sz w:val="32"/>
          <w:szCs w:val="32"/>
        </w:rPr>
      </w:pPr>
    </w:p>
    <w:p>
      <w:pPr>
        <w:spacing w:line="600" w:lineRule="exact"/>
        <w:ind w:firstLine="640" w:firstLineChars="200"/>
        <w:outlineLvl w:val="0"/>
        <w:rPr>
          <w:rFonts w:hint="eastAsia" w:ascii="仿宋_GB2312" w:eastAsia="仿宋_GB2312"/>
          <w:sz w:val="32"/>
          <w:szCs w:val="32"/>
        </w:rPr>
      </w:pPr>
      <w:bookmarkStart w:id="21" w:name="_Toc22018"/>
      <w:r>
        <w:rPr>
          <w:rFonts w:hint="eastAsia" w:ascii="黑体" w:hAnsi="黑体" w:eastAsia="黑体" w:cs="黑体"/>
          <w:sz w:val="32"/>
          <w:szCs w:val="32"/>
        </w:rPr>
        <w:t>一、自行迁坟补偿标准:根据墓地类型分别进行补偿。</w:t>
      </w:r>
      <w:bookmarkEnd w:id="21"/>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1、阴城</w:t>
      </w:r>
      <w:r>
        <w:rPr>
          <w:rFonts w:hint="eastAsia" w:ascii="仿宋_GB2312" w:eastAsia="仿宋_GB2312"/>
          <w:sz w:val="32"/>
          <w:szCs w:val="32"/>
          <w:highlight w:val="none"/>
        </w:rPr>
        <w:t>(</w:t>
      </w:r>
      <w:r>
        <w:rPr>
          <w:rFonts w:hint="eastAsia" w:ascii="仿宋_GB2312" w:eastAsia="仿宋_GB2312"/>
          <w:sz w:val="32"/>
          <w:szCs w:val="32"/>
        </w:rPr>
        <w:t>元/</w:t>
      </w:r>
      <w:r>
        <w:rPr>
          <w:rFonts w:hint="eastAsia" w:ascii="仿宋_GB2312" w:eastAsia="仿宋_GB2312"/>
          <w:sz w:val="32"/>
          <w:szCs w:val="32"/>
          <w:highlight w:val="none"/>
          <w:lang w:val="en-US" w:eastAsia="zh-CN"/>
        </w:rPr>
        <w:t>㎡</w:t>
      </w:r>
      <w:r>
        <w:rPr>
          <w:rFonts w:hint="eastAsia" w:ascii="仿宋_GB2312" w:eastAsia="仿宋_GB2312"/>
          <w:sz w:val="32"/>
          <w:szCs w:val="32"/>
          <w:highlight w:val="none"/>
        </w:rPr>
        <w:t>)</w:t>
      </w:r>
      <w:r>
        <w:rPr>
          <w:rFonts w:hint="eastAsia" w:ascii="仿宋_GB2312" w:eastAsia="仿宋_GB2312"/>
          <w:sz w:val="32"/>
          <w:szCs w:val="32"/>
        </w:rPr>
        <w:t xml:space="preserve"> : 3500-4000</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2、金坛</w:t>
      </w:r>
      <w:r>
        <w:rPr>
          <w:rFonts w:hint="eastAsia" w:ascii="仿宋_GB2312" w:eastAsia="仿宋_GB2312"/>
          <w:sz w:val="32"/>
          <w:szCs w:val="32"/>
          <w:highlight w:val="none"/>
        </w:rPr>
        <w:t>(</w:t>
      </w:r>
      <w:r>
        <w:rPr>
          <w:rFonts w:hint="eastAsia" w:ascii="仿宋_GB2312" w:eastAsia="仿宋_GB2312"/>
          <w:sz w:val="32"/>
          <w:szCs w:val="32"/>
        </w:rPr>
        <w:t>元/个</w:t>
      </w:r>
      <w:r>
        <w:rPr>
          <w:rFonts w:hint="eastAsia" w:ascii="仿宋_GB2312" w:eastAsia="仿宋_GB2312"/>
          <w:sz w:val="32"/>
          <w:szCs w:val="32"/>
          <w:highlight w:val="none"/>
        </w:rPr>
        <w:t>)</w:t>
      </w:r>
      <w:r>
        <w:rPr>
          <w:rFonts w:hint="eastAsia" w:ascii="仿宋_GB2312" w:eastAsia="仿宋_GB2312"/>
          <w:sz w:val="32"/>
          <w:szCs w:val="32"/>
        </w:rPr>
        <w:t>: 1000</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3、土坟</w:t>
      </w:r>
      <w:r>
        <w:rPr>
          <w:rFonts w:hint="eastAsia" w:ascii="仿宋_GB2312" w:eastAsia="仿宋_GB2312"/>
          <w:sz w:val="32"/>
          <w:szCs w:val="32"/>
          <w:highlight w:val="none"/>
        </w:rPr>
        <w:t>(</w:t>
      </w:r>
      <w:r>
        <w:rPr>
          <w:rFonts w:hint="eastAsia" w:ascii="仿宋_GB2312" w:eastAsia="仿宋_GB2312"/>
          <w:sz w:val="32"/>
          <w:szCs w:val="32"/>
        </w:rPr>
        <w:t>元/座</w:t>
      </w:r>
      <w:r>
        <w:rPr>
          <w:rFonts w:hint="eastAsia" w:ascii="仿宋_GB2312" w:eastAsia="仿宋_GB2312"/>
          <w:sz w:val="32"/>
          <w:szCs w:val="32"/>
          <w:highlight w:val="none"/>
        </w:rPr>
        <w:t>)</w:t>
      </w:r>
      <w:r>
        <w:rPr>
          <w:rFonts w:hint="eastAsia" w:ascii="仿宋_GB2312" w:eastAsia="仿宋_GB2312"/>
          <w:sz w:val="32"/>
          <w:szCs w:val="32"/>
        </w:rPr>
        <w:t>: 8000</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4、大葬</w:t>
      </w:r>
      <w:r>
        <w:rPr>
          <w:rFonts w:hint="eastAsia" w:ascii="仿宋_GB2312" w:eastAsia="仿宋_GB2312"/>
          <w:sz w:val="32"/>
          <w:szCs w:val="32"/>
          <w:highlight w:val="none"/>
        </w:rPr>
        <w:t>(</w:t>
      </w:r>
      <w:r>
        <w:rPr>
          <w:rFonts w:hint="eastAsia" w:ascii="仿宋_GB2312" w:eastAsia="仿宋_GB2312"/>
          <w:sz w:val="32"/>
          <w:szCs w:val="32"/>
        </w:rPr>
        <w:t>元/座</w:t>
      </w:r>
      <w:r>
        <w:rPr>
          <w:rFonts w:hint="eastAsia" w:ascii="仿宋_GB2312" w:eastAsia="仿宋_GB2312"/>
          <w:sz w:val="32"/>
          <w:szCs w:val="32"/>
          <w:highlight w:val="none"/>
        </w:rPr>
        <w:t>)</w:t>
      </w:r>
      <w:r>
        <w:rPr>
          <w:rFonts w:hint="eastAsia" w:ascii="仿宋_GB2312" w:eastAsia="仿宋_GB2312"/>
          <w:sz w:val="32"/>
          <w:szCs w:val="32"/>
        </w:rPr>
        <w:t>: 18000</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5、小水泥</w:t>
      </w:r>
      <w:r>
        <w:rPr>
          <w:rFonts w:hint="eastAsia" w:ascii="仿宋_GB2312" w:eastAsia="仿宋_GB2312"/>
          <w:sz w:val="32"/>
          <w:szCs w:val="32"/>
          <w:highlight w:val="none"/>
        </w:rPr>
        <w:t>(</w:t>
      </w:r>
      <w:r>
        <w:rPr>
          <w:rFonts w:hint="eastAsia" w:ascii="仿宋_GB2312" w:eastAsia="仿宋_GB2312"/>
          <w:sz w:val="32"/>
          <w:szCs w:val="32"/>
        </w:rPr>
        <w:t>石灰</w:t>
      </w:r>
      <w:r>
        <w:rPr>
          <w:rFonts w:hint="eastAsia" w:ascii="仿宋_GB2312" w:eastAsia="仿宋_GB2312"/>
          <w:sz w:val="32"/>
          <w:szCs w:val="32"/>
          <w:highlight w:val="none"/>
        </w:rPr>
        <w:t>)</w:t>
      </w:r>
      <w:r>
        <w:rPr>
          <w:rFonts w:hint="eastAsia" w:ascii="仿宋_GB2312" w:eastAsia="仿宋_GB2312"/>
          <w:sz w:val="32"/>
          <w:szCs w:val="32"/>
        </w:rPr>
        <w:t>坟</w:t>
      </w:r>
      <w:r>
        <w:rPr>
          <w:rFonts w:hint="eastAsia" w:ascii="仿宋_GB2312" w:eastAsia="仿宋_GB2312"/>
          <w:sz w:val="32"/>
          <w:szCs w:val="32"/>
          <w:highlight w:val="none"/>
        </w:rPr>
        <w:t>(</w:t>
      </w:r>
      <w:r>
        <w:rPr>
          <w:rFonts w:hint="eastAsia" w:ascii="仿宋_GB2312" w:eastAsia="仿宋_GB2312"/>
          <w:sz w:val="32"/>
          <w:szCs w:val="32"/>
        </w:rPr>
        <w:t>元/座</w:t>
      </w:r>
      <w:r>
        <w:rPr>
          <w:rFonts w:hint="eastAsia" w:ascii="仿宋_GB2312" w:eastAsia="仿宋_GB2312"/>
          <w:sz w:val="32"/>
          <w:szCs w:val="32"/>
          <w:highlight w:val="none"/>
        </w:rPr>
        <w:t>)</w:t>
      </w:r>
      <w:r>
        <w:rPr>
          <w:rFonts w:hint="eastAsia" w:ascii="仿宋_GB2312" w:eastAsia="仿宋_GB2312"/>
          <w:sz w:val="32"/>
          <w:szCs w:val="32"/>
        </w:rPr>
        <w:t>: 15000-20000</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6、中水泥</w:t>
      </w:r>
      <w:r>
        <w:rPr>
          <w:rFonts w:hint="eastAsia" w:ascii="仿宋_GB2312" w:eastAsia="仿宋_GB2312"/>
          <w:sz w:val="32"/>
          <w:szCs w:val="32"/>
          <w:highlight w:val="none"/>
        </w:rPr>
        <w:t>(</w:t>
      </w:r>
      <w:r>
        <w:rPr>
          <w:rFonts w:hint="eastAsia" w:ascii="仿宋_GB2312" w:eastAsia="仿宋_GB2312"/>
          <w:sz w:val="32"/>
          <w:szCs w:val="32"/>
        </w:rPr>
        <w:t>石灰</w:t>
      </w:r>
      <w:r>
        <w:rPr>
          <w:rFonts w:hint="eastAsia" w:ascii="仿宋_GB2312" w:eastAsia="仿宋_GB2312"/>
          <w:sz w:val="32"/>
          <w:szCs w:val="32"/>
          <w:highlight w:val="none"/>
        </w:rPr>
        <w:t>)</w:t>
      </w:r>
      <w:r>
        <w:rPr>
          <w:rFonts w:hint="eastAsia" w:ascii="仿宋_GB2312" w:eastAsia="仿宋_GB2312"/>
          <w:sz w:val="32"/>
          <w:szCs w:val="32"/>
        </w:rPr>
        <w:t>坟</w:t>
      </w:r>
      <w:r>
        <w:rPr>
          <w:rFonts w:hint="eastAsia" w:ascii="仿宋_GB2312" w:eastAsia="仿宋_GB2312"/>
          <w:sz w:val="32"/>
          <w:szCs w:val="32"/>
          <w:highlight w:val="none"/>
        </w:rPr>
        <w:t>(</w:t>
      </w:r>
      <w:r>
        <w:rPr>
          <w:rFonts w:hint="eastAsia" w:ascii="仿宋_GB2312" w:eastAsia="仿宋_GB2312"/>
          <w:sz w:val="32"/>
          <w:szCs w:val="32"/>
        </w:rPr>
        <w:t>元/座</w:t>
      </w:r>
      <w:r>
        <w:rPr>
          <w:rFonts w:hint="eastAsia" w:ascii="仿宋_GB2312" w:eastAsia="仿宋_GB2312"/>
          <w:sz w:val="32"/>
          <w:szCs w:val="32"/>
          <w:highlight w:val="none"/>
        </w:rPr>
        <w:t>)</w:t>
      </w:r>
      <w:r>
        <w:rPr>
          <w:rFonts w:hint="eastAsia" w:ascii="仿宋_GB2312" w:eastAsia="仿宋_GB2312"/>
          <w:sz w:val="32"/>
          <w:szCs w:val="32"/>
        </w:rPr>
        <w:t>: 20000-35000</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7、大水泥</w:t>
      </w:r>
      <w:r>
        <w:rPr>
          <w:rFonts w:hint="eastAsia" w:ascii="仿宋_GB2312" w:eastAsia="仿宋_GB2312"/>
          <w:sz w:val="32"/>
          <w:szCs w:val="32"/>
          <w:highlight w:val="none"/>
        </w:rPr>
        <w:t>(</w:t>
      </w:r>
      <w:r>
        <w:rPr>
          <w:rFonts w:hint="eastAsia" w:ascii="仿宋_GB2312" w:eastAsia="仿宋_GB2312"/>
          <w:sz w:val="32"/>
          <w:szCs w:val="32"/>
        </w:rPr>
        <w:t>石灰</w:t>
      </w:r>
      <w:r>
        <w:rPr>
          <w:rFonts w:hint="eastAsia" w:ascii="仿宋_GB2312" w:eastAsia="仿宋_GB2312"/>
          <w:sz w:val="32"/>
          <w:szCs w:val="32"/>
          <w:highlight w:val="none"/>
        </w:rPr>
        <w:t>)</w:t>
      </w:r>
      <w:r>
        <w:rPr>
          <w:rFonts w:hint="eastAsia" w:ascii="仿宋_GB2312" w:eastAsia="仿宋_GB2312"/>
          <w:sz w:val="32"/>
          <w:szCs w:val="32"/>
        </w:rPr>
        <w:t>坟</w:t>
      </w:r>
      <w:r>
        <w:rPr>
          <w:rFonts w:hint="eastAsia" w:ascii="仿宋_GB2312" w:eastAsia="仿宋_GB2312"/>
          <w:sz w:val="32"/>
          <w:szCs w:val="32"/>
          <w:highlight w:val="none"/>
        </w:rPr>
        <w:t>(</w:t>
      </w:r>
      <w:r>
        <w:rPr>
          <w:rFonts w:hint="eastAsia" w:ascii="仿宋_GB2312" w:eastAsia="仿宋_GB2312"/>
          <w:sz w:val="32"/>
          <w:szCs w:val="32"/>
        </w:rPr>
        <w:t>元/座</w:t>
      </w:r>
      <w:r>
        <w:rPr>
          <w:rFonts w:hint="eastAsia" w:ascii="仿宋_GB2312" w:eastAsia="仿宋_GB2312"/>
          <w:sz w:val="32"/>
          <w:szCs w:val="32"/>
          <w:highlight w:val="none"/>
        </w:rPr>
        <w:t>)</w:t>
      </w:r>
      <w:r>
        <w:rPr>
          <w:rFonts w:hint="eastAsia" w:ascii="仿宋_GB2312" w:eastAsia="仿宋_GB2312"/>
          <w:sz w:val="32"/>
          <w:szCs w:val="32"/>
        </w:rPr>
        <w:t xml:space="preserve"> 35000-50000</w:t>
      </w:r>
    </w:p>
    <w:p>
      <w:pPr>
        <w:spacing w:line="600" w:lineRule="exact"/>
        <w:ind w:firstLine="640" w:firstLineChars="200"/>
        <w:outlineLvl w:val="0"/>
        <w:rPr>
          <w:rFonts w:hint="eastAsia" w:ascii="黑体" w:hAnsi="黑体" w:eastAsia="黑体" w:cs="黑体"/>
          <w:sz w:val="32"/>
          <w:szCs w:val="32"/>
        </w:rPr>
      </w:pPr>
      <w:bookmarkStart w:id="22" w:name="_Toc17347"/>
      <w:r>
        <w:rPr>
          <w:rFonts w:hint="eastAsia" w:ascii="黑体" w:hAnsi="黑体" w:eastAsia="黑体" w:cs="黑体"/>
          <w:sz w:val="32"/>
          <w:szCs w:val="32"/>
        </w:rPr>
        <w:t>二、统一安置搬迁费标准:</w:t>
      </w:r>
      <w:bookmarkEnd w:id="22"/>
      <w:r>
        <w:rPr>
          <w:rFonts w:hint="eastAsia" w:ascii="黑体" w:hAnsi="黑体" w:eastAsia="黑体" w:cs="黑体"/>
          <w:sz w:val="32"/>
          <w:szCs w:val="32"/>
        </w:rPr>
        <w:t xml:space="preserve"> </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1、阴城</w:t>
      </w:r>
      <w:r>
        <w:rPr>
          <w:rFonts w:hint="eastAsia" w:ascii="仿宋_GB2312" w:eastAsia="仿宋_GB2312"/>
          <w:sz w:val="32"/>
          <w:szCs w:val="32"/>
          <w:highlight w:val="none"/>
        </w:rPr>
        <w:t>(</w:t>
      </w:r>
      <w:r>
        <w:rPr>
          <w:rFonts w:hint="eastAsia" w:ascii="仿宋_GB2312" w:eastAsia="仿宋_GB2312"/>
          <w:sz w:val="32"/>
          <w:szCs w:val="32"/>
        </w:rPr>
        <w:t>元/</w:t>
      </w:r>
      <w:r>
        <w:rPr>
          <w:rFonts w:hint="eastAsia" w:ascii="宋体" w:hAnsi="宋体" w:cs="宋体"/>
          <w:sz w:val="32"/>
          <w:szCs w:val="32"/>
        </w:rPr>
        <w:t>㎡</w:t>
      </w:r>
      <w:r>
        <w:rPr>
          <w:rFonts w:hint="eastAsia" w:ascii="仿宋_GB2312" w:eastAsia="仿宋_GB2312"/>
          <w:sz w:val="32"/>
          <w:szCs w:val="32"/>
          <w:highlight w:val="none"/>
        </w:rPr>
        <w:t>)</w:t>
      </w:r>
      <w:r>
        <w:rPr>
          <w:rFonts w:hint="eastAsia" w:ascii="仿宋_GB2312" w:eastAsia="仿宋_GB2312"/>
          <w:sz w:val="32"/>
          <w:szCs w:val="32"/>
        </w:rPr>
        <w:t xml:space="preserve"> :按安放金坛数量计价</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2、金坛</w:t>
      </w:r>
      <w:r>
        <w:rPr>
          <w:rFonts w:hint="eastAsia" w:ascii="仿宋_GB2312" w:eastAsia="仿宋_GB2312"/>
          <w:sz w:val="32"/>
          <w:szCs w:val="32"/>
          <w:highlight w:val="none"/>
        </w:rPr>
        <w:t>(</w:t>
      </w:r>
      <w:r>
        <w:rPr>
          <w:rFonts w:hint="eastAsia" w:ascii="仿宋_GB2312" w:eastAsia="仿宋_GB2312"/>
          <w:sz w:val="32"/>
          <w:szCs w:val="32"/>
        </w:rPr>
        <w:t>元/个</w:t>
      </w:r>
      <w:r>
        <w:rPr>
          <w:rFonts w:hint="eastAsia" w:ascii="仿宋_GB2312" w:eastAsia="仿宋_GB2312"/>
          <w:sz w:val="32"/>
          <w:szCs w:val="32"/>
          <w:highlight w:val="none"/>
        </w:rPr>
        <w:t>)</w:t>
      </w:r>
      <w:r>
        <w:rPr>
          <w:rFonts w:hint="eastAsia" w:ascii="仿宋_GB2312" w:eastAsia="仿宋_GB2312"/>
          <w:sz w:val="32"/>
          <w:szCs w:val="32"/>
        </w:rPr>
        <w:t>: 500</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3、土坟</w:t>
      </w:r>
      <w:r>
        <w:rPr>
          <w:rFonts w:hint="eastAsia" w:ascii="仿宋_GB2312" w:eastAsia="仿宋_GB2312"/>
          <w:sz w:val="32"/>
          <w:szCs w:val="32"/>
          <w:highlight w:val="none"/>
        </w:rPr>
        <w:t>(</w:t>
      </w:r>
      <w:r>
        <w:rPr>
          <w:rFonts w:hint="eastAsia" w:ascii="仿宋_GB2312" w:eastAsia="仿宋_GB2312"/>
          <w:sz w:val="32"/>
          <w:szCs w:val="32"/>
        </w:rPr>
        <w:t>元/座</w:t>
      </w:r>
      <w:r>
        <w:rPr>
          <w:rFonts w:hint="eastAsia" w:ascii="仿宋_GB2312" w:eastAsia="仿宋_GB2312"/>
          <w:sz w:val="32"/>
          <w:szCs w:val="32"/>
          <w:highlight w:val="none"/>
        </w:rPr>
        <w:t>)</w:t>
      </w:r>
      <w:r>
        <w:rPr>
          <w:rFonts w:hint="eastAsia" w:ascii="仿宋_GB2312" w:eastAsia="仿宋_GB2312"/>
          <w:sz w:val="32"/>
          <w:szCs w:val="32"/>
        </w:rPr>
        <w:t>: 1000</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4、大葬</w:t>
      </w:r>
      <w:r>
        <w:rPr>
          <w:rFonts w:hint="eastAsia" w:ascii="仿宋_GB2312" w:eastAsia="仿宋_GB2312"/>
          <w:sz w:val="32"/>
          <w:szCs w:val="32"/>
          <w:highlight w:val="none"/>
        </w:rPr>
        <w:t>(</w:t>
      </w:r>
      <w:r>
        <w:rPr>
          <w:rFonts w:hint="eastAsia" w:ascii="仿宋_GB2312" w:eastAsia="仿宋_GB2312"/>
          <w:sz w:val="32"/>
          <w:szCs w:val="32"/>
        </w:rPr>
        <w:t>元/座</w:t>
      </w:r>
      <w:r>
        <w:rPr>
          <w:rFonts w:hint="eastAsia" w:ascii="仿宋_GB2312" w:eastAsia="仿宋_GB2312"/>
          <w:sz w:val="32"/>
          <w:szCs w:val="32"/>
          <w:highlight w:val="none"/>
        </w:rPr>
        <w:t>)</w:t>
      </w:r>
      <w:r>
        <w:rPr>
          <w:rFonts w:hint="eastAsia" w:ascii="仿宋_GB2312" w:eastAsia="仿宋_GB2312"/>
          <w:sz w:val="32"/>
          <w:szCs w:val="32"/>
        </w:rPr>
        <w:t>: 1500</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5、小/中/大水泥</w:t>
      </w:r>
      <w:r>
        <w:rPr>
          <w:rFonts w:hint="eastAsia" w:ascii="仿宋_GB2312" w:eastAsia="仿宋_GB2312"/>
          <w:sz w:val="32"/>
          <w:szCs w:val="32"/>
          <w:highlight w:val="none"/>
        </w:rPr>
        <w:t>(</w:t>
      </w:r>
      <w:r>
        <w:rPr>
          <w:rFonts w:hint="eastAsia" w:ascii="仿宋_GB2312" w:eastAsia="仿宋_GB2312"/>
          <w:sz w:val="32"/>
          <w:szCs w:val="32"/>
        </w:rPr>
        <w:t>石灰</w:t>
      </w:r>
      <w:r>
        <w:rPr>
          <w:rFonts w:hint="eastAsia" w:ascii="仿宋_GB2312" w:eastAsia="仿宋_GB2312"/>
          <w:sz w:val="32"/>
          <w:szCs w:val="32"/>
          <w:highlight w:val="none"/>
        </w:rPr>
        <w:t>)</w:t>
      </w:r>
      <w:r>
        <w:rPr>
          <w:rFonts w:hint="eastAsia" w:ascii="仿宋_GB2312" w:eastAsia="仿宋_GB2312"/>
          <w:sz w:val="32"/>
          <w:szCs w:val="32"/>
        </w:rPr>
        <w:t>坟</w:t>
      </w:r>
      <w:r>
        <w:rPr>
          <w:rFonts w:hint="eastAsia" w:ascii="仿宋_GB2312" w:eastAsia="仿宋_GB2312"/>
          <w:sz w:val="32"/>
          <w:szCs w:val="32"/>
          <w:highlight w:val="none"/>
        </w:rPr>
        <w:t>(</w:t>
      </w:r>
      <w:r>
        <w:rPr>
          <w:rFonts w:hint="eastAsia" w:ascii="仿宋_GB2312" w:eastAsia="仿宋_GB2312"/>
          <w:sz w:val="32"/>
          <w:szCs w:val="32"/>
        </w:rPr>
        <w:t>元/座</w:t>
      </w:r>
      <w:r>
        <w:rPr>
          <w:rFonts w:hint="eastAsia" w:ascii="仿宋_GB2312" w:eastAsia="仿宋_GB2312"/>
          <w:sz w:val="32"/>
          <w:szCs w:val="32"/>
          <w:highlight w:val="none"/>
        </w:rPr>
        <w:t>)</w:t>
      </w:r>
      <w:r>
        <w:rPr>
          <w:rFonts w:hint="eastAsia" w:ascii="仿宋_GB2312" w:eastAsia="仿宋_GB2312"/>
          <w:sz w:val="32"/>
          <w:szCs w:val="32"/>
        </w:rPr>
        <w:t>2000</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备注:大水泥</w:t>
      </w:r>
      <w:r>
        <w:rPr>
          <w:rFonts w:hint="eastAsia" w:ascii="仿宋_GB2312" w:eastAsia="仿宋_GB2312"/>
          <w:sz w:val="32"/>
          <w:szCs w:val="32"/>
          <w:highlight w:val="none"/>
        </w:rPr>
        <w:t>(</w:t>
      </w:r>
      <w:r>
        <w:rPr>
          <w:rFonts w:hint="eastAsia" w:ascii="仿宋_GB2312" w:eastAsia="仿宋_GB2312"/>
          <w:sz w:val="32"/>
          <w:szCs w:val="32"/>
        </w:rPr>
        <w:t>石灰</w:t>
      </w:r>
      <w:r>
        <w:rPr>
          <w:rFonts w:hint="eastAsia" w:ascii="仿宋_GB2312" w:eastAsia="仿宋_GB2312"/>
          <w:sz w:val="32"/>
          <w:szCs w:val="32"/>
          <w:highlight w:val="none"/>
        </w:rPr>
        <w:t>)</w:t>
      </w:r>
      <w:r>
        <w:rPr>
          <w:rFonts w:hint="eastAsia" w:ascii="仿宋_GB2312" w:eastAsia="仿宋_GB2312"/>
          <w:sz w:val="32"/>
          <w:szCs w:val="32"/>
        </w:rPr>
        <w:t>坟规格为面积超过10</w:t>
      </w:r>
      <w:r>
        <w:rPr>
          <w:rFonts w:hint="eastAsia" w:ascii="仿宋_GB2312" w:eastAsia="仿宋_GB2312"/>
          <w:sz w:val="32"/>
          <w:szCs w:val="32"/>
          <w:highlight w:val="none"/>
        </w:rPr>
        <w:t>(</w:t>
      </w:r>
      <w:r>
        <w:rPr>
          <w:rFonts w:hint="eastAsia" w:ascii="仿宋_GB2312" w:eastAsia="仿宋_GB2312"/>
          <w:sz w:val="32"/>
          <w:szCs w:val="32"/>
        </w:rPr>
        <w:t>含</w:t>
      </w:r>
      <w:r>
        <w:rPr>
          <w:rFonts w:hint="eastAsia" w:ascii="仿宋_GB2312" w:eastAsia="仿宋_GB2312"/>
          <w:sz w:val="32"/>
          <w:szCs w:val="32"/>
          <w:highlight w:val="none"/>
        </w:rPr>
        <w:t>)</w:t>
      </w:r>
      <w:r>
        <w:rPr>
          <w:rFonts w:hint="eastAsia" w:ascii="仿宋_GB2312" w:eastAsia="仿宋_GB2312"/>
          <w:sz w:val="32"/>
          <w:szCs w:val="32"/>
        </w:rPr>
        <w:t>平方长中水泥(石灰)规格为面积5-10平方米；小水泥（石灰）坟规格为面积小于5平方米</w:t>
      </w:r>
      <w:r>
        <w:rPr>
          <w:rFonts w:hint="eastAsia" w:ascii="仿宋_GB2312" w:eastAsia="仿宋_GB2312"/>
          <w:sz w:val="32"/>
          <w:szCs w:val="32"/>
          <w:highlight w:val="none"/>
        </w:rPr>
        <w:t>;</w:t>
      </w:r>
      <w:r>
        <w:rPr>
          <w:rFonts w:hint="eastAsia" w:ascii="仿宋_GB2312" w:eastAsia="仿宋_GB2312"/>
          <w:sz w:val="32"/>
          <w:szCs w:val="32"/>
        </w:rPr>
        <w:t>坟墓最高补偿</w:t>
      </w:r>
      <w:r>
        <w:rPr>
          <w:rFonts w:hint="eastAsia" w:ascii="仿宋_GB2312" w:eastAsia="仿宋_GB2312"/>
          <w:sz w:val="32"/>
          <w:szCs w:val="32"/>
          <w:highlight w:val="none"/>
        </w:rPr>
        <w:t>标</w:t>
      </w:r>
      <w:r>
        <w:rPr>
          <w:rFonts w:hint="eastAsia" w:ascii="仿宋_GB2312" w:eastAsia="仿宋_GB2312"/>
          <w:sz w:val="32"/>
          <w:szCs w:val="32"/>
          <w:highlight w:val="none"/>
          <w:lang w:val="en-US" w:eastAsia="zh-CN"/>
        </w:rPr>
        <w:t>准</w:t>
      </w:r>
      <w:r>
        <w:rPr>
          <w:rFonts w:hint="eastAsia" w:ascii="仿宋_GB2312" w:eastAsia="仿宋_GB2312"/>
          <w:sz w:val="32"/>
          <w:szCs w:val="32"/>
        </w:rPr>
        <w:t>不超过50000元座。</w:t>
      </w:r>
    </w:p>
    <w:p>
      <w:pPr>
        <w:spacing w:line="600" w:lineRule="exact"/>
        <w:outlineLvl w:val="0"/>
        <w:rPr>
          <w:rFonts w:hint="eastAsia" w:ascii="仿宋_GB2312" w:eastAsia="仿宋_GB2312"/>
          <w:sz w:val="32"/>
          <w:szCs w:val="32"/>
        </w:rPr>
      </w:pPr>
      <w:r>
        <w:rPr>
          <w:rFonts w:ascii="仿宋_GB2312" w:eastAsia="仿宋_GB2312"/>
          <w:sz w:val="32"/>
          <w:szCs w:val="32"/>
        </w:rPr>
        <w:br w:type="page"/>
      </w:r>
      <w:bookmarkStart w:id="23" w:name="_Toc12096"/>
      <w:r>
        <w:rPr>
          <w:rFonts w:hint="eastAsia" w:ascii="黑体" w:hAnsi="黑体" w:eastAsia="黑体" w:cs="黑体"/>
          <w:sz w:val="32"/>
          <w:szCs w:val="32"/>
        </w:rPr>
        <w:t>附件1-3</w:t>
      </w:r>
      <w:bookmarkEnd w:id="23"/>
    </w:p>
    <w:p>
      <w:pPr>
        <w:spacing w:line="700" w:lineRule="exact"/>
        <w:jc w:val="center"/>
        <w:rPr>
          <w:rFonts w:ascii="方正小标宋简体" w:hAnsi="方正小标宋简体" w:eastAsia="方正小标宋简体" w:cs="方正小标宋简体"/>
          <w:sz w:val="44"/>
          <w:szCs w:val="44"/>
        </w:rPr>
      </w:pPr>
      <w:r>
        <w:rPr>
          <w:rFonts w:hint="eastAsia" w:ascii="方正小标宋简体" w:hAnsi="仿宋" w:eastAsia="方正小标宋简体"/>
          <w:sz w:val="44"/>
          <w:szCs w:val="44"/>
        </w:rPr>
        <w:t>河源市</w:t>
      </w:r>
      <w:r>
        <w:rPr>
          <w:rFonts w:hint="eastAsia" w:ascii="方正小标宋简体" w:hAnsi="仿宋" w:eastAsia="方正小标宋简体"/>
          <w:sz w:val="44"/>
          <w:szCs w:val="44"/>
          <w:lang w:val="en-US" w:eastAsia="zh-CN"/>
        </w:rPr>
        <w:t>G205国道江东新区（临江段）</w:t>
      </w:r>
      <w:r>
        <w:rPr>
          <w:rFonts w:hint="eastAsia" w:ascii="方正小标宋简体" w:hAnsi="方正小标宋简体" w:eastAsia="方正小标宋简体" w:cs="方正小标宋简体"/>
          <w:sz w:val="44"/>
          <w:szCs w:val="44"/>
        </w:rPr>
        <w:t>果树竹木征收补偿标准</w:t>
      </w:r>
    </w:p>
    <w:p>
      <w:pPr>
        <w:spacing w:line="560" w:lineRule="exact"/>
        <w:ind w:firstLine="640" w:firstLineChars="200"/>
        <w:rPr>
          <w:rFonts w:ascii="仿宋" w:hAnsi="仿宋" w:eastAsia="仿宋" w:cs="仿宋"/>
          <w:b/>
          <w:sz w:val="32"/>
          <w:szCs w:val="32"/>
        </w:rPr>
      </w:pPr>
      <w:r>
        <w:rPr>
          <w:rFonts w:hint="eastAsia" w:ascii="仿宋" w:hAnsi="仿宋" w:eastAsia="仿宋" w:cs="仿宋"/>
          <w:bCs/>
          <w:sz w:val="32"/>
          <w:szCs w:val="32"/>
        </w:rPr>
        <w:t>成片果木按每亩60株计价，补偿金额不超过45000元/亩</w:t>
      </w:r>
    </w:p>
    <w:tbl>
      <w:tblPr>
        <w:tblStyle w:val="6"/>
        <w:tblW w:w="0" w:type="auto"/>
        <w:jc w:val="center"/>
        <w:tblLayout w:type="fixed"/>
        <w:tblCellMar>
          <w:top w:w="0" w:type="dxa"/>
          <w:left w:w="108" w:type="dxa"/>
          <w:bottom w:w="0" w:type="dxa"/>
          <w:right w:w="108" w:type="dxa"/>
        </w:tblCellMar>
      </w:tblPr>
      <w:tblGrid>
        <w:gridCol w:w="582"/>
        <w:gridCol w:w="1199"/>
        <w:gridCol w:w="2643"/>
        <w:gridCol w:w="1380"/>
        <w:gridCol w:w="3700"/>
      </w:tblGrid>
      <w:tr>
        <w:tblPrEx>
          <w:tblCellMar>
            <w:top w:w="0" w:type="dxa"/>
            <w:left w:w="108" w:type="dxa"/>
            <w:bottom w:w="0" w:type="dxa"/>
            <w:right w:w="108" w:type="dxa"/>
          </w:tblCellMar>
        </w:tblPrEx>
        <w:trPr>
          <w:trHeight w:val="425" w:hRule="atLeast"/>
          <w:tblHeader/>
          <w:jc w:val="center"/>
        </w:trPr>
        <w:tc>
          <w:tcPr>
            <w:tcW w:w="5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黑体" w:hAnsi="黑体" w:eastAsia="黑体"/>
                <w:bCs/>
                <w:color w:val="000000"/>
                <w:kern w:val="0"/>
                <w:sz w:val="24"/>
              </w:rPr>
            </w:pPr>
            <w:r>
              <w:rPr>
                <w:rFonts w:hint="eastAsia" w:ascii="黑体" w:hAnsi="黑体" w:eastAsia="黑体"/>
                <w:bCs/>
                <w:color w:val="000000"/>
                <w:kern w:val="0"/>
                <w:sz w:val="24"/>
              </w:rPr>
              <w:t>序号</w:t>
            </w:r>
          </w:p>
        </w:tc>
        <w:tc>
          <w:tcPr>
            <w:tcW w:w="119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黑体" w:hAnsi="黑体" w:eastAsia="黑体"/>
                <w:bCs/>
                <w:color w:val="000000"/>
                <w:kern w:val="0"/>
                <w:sz w:val="24"/>
              </w:rPr>
            </w:pPr>
            <w:r>
              <w:rPr>
                <w:rFonts w:hint="eastAsia" w:ascii="黑体" w:hAnsi="黑体" w:eastAsia="黑体"/>
                <w:bCs/>
                <w:color w:val="000000"/>
                <w:kern w:val="0"/>
                <w:sz w:val="24"/>
              </w:rPr>
              <w:t>作物</w:t>
            </w:r>
          </w:p>
          <w:p>
            <w:pPr>
              <w:widowControl/>
              <w:spacing w:line="280" w:lineRule="exact"/>
              <w:jc w:val="center"/>
              <w:rPr>
                <w:rFonts w:ascii="黑体" w:hAnsi="黑体" w:eastAsia="黑体"/>
                <w:bCs/>
                <w:color w:val="000000"/>
                <w:kern w:val="0"/>
                <w:sz w:val="24"/>
              </w:rPr>
            </w:pPr>
            <w:r>
              <w:rPr>
                <w:rFonts w:hint="eastAsia" w:ascii="黑体" w:hAnsi="黑体" w:eastAsia="黑体"/>
                <w:bCs/>
                <w:color w:val="000000"/>
                <w:kern w:val="0"/>
                <w:sz w:val="24"/>
              </w:rPr>
              <w:t>名称</w:t>
            </w:r>
          </w:p>
        </w:tc>
        <w:tc>
          <w:tcPr>
            <w:tcW w:w="2643"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center"/>
              <w:rPr>
                <w:rFonts w:ascii="黑体" w:hAnsi="黑体" w:eastAsia="黑体"/>
                <w:bCs/>
                <w:color w:val="000000"/>
                <w:kern w:val="0"/>
                <w:sz w:val="24"/>
              </w:rPr>
            </w:pPr>
            <w:r>
              <w:rPr>
                <w:rFonts w:hint="eastAsia" w:ascii="黑体" w:hAnsi="黑体" w:eastAsia="黑体"/>
                <w:bCs/>
                <w:color w:val="000000"/>
                <w:kern w:val="0"/>
                <w:sz w:val="24"/>
              </w:rPr>
              <w:t>规格</w:t>
            </w:r>
          </w:p>
        </w:tc>
        <w:tc>
          <w:tcPr>
            <w:tcW w:w="508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黑体" w:hAnsi="黑体" w:eastAsia="黑体"/>
                <w:bCs/>
                <w:color w:val="000000"/>
                <w:kern w:val="0"/>
                <w:sz w:val="24"/>
              </w:rPr>
            </w:pPr>
            <w:r>
              <w:rPr>
                <w:rFonts w:hint="eastAsia" w:ascii="黑体" w:hAnsi="黑体" w:eastAsia="黑体"/>
                <w:bCs/>
                <w:color w:val="000000"/>
                <w:kern w:val="0"/>
                <w:sz w:val="24"/>
              </w:rPr>
              <w:t xml:space="preserve">补偿标准        </w:t>
            </w:r>
          </w:p>
        </w:tc>
      </w:tr>
      <w:tr>
        <w:tblPrEx>
          <w:tblCellMar>
            <w:top w:w="0" w:type="dxa"/>
            <w:left w:w="108" w:type="dxa"/>
            <w:bottom w:w="0" w:type="dxa"/>
            <w:right w:w="108" w:type="dxa"/>
          </w:tblCellMar>
        </w:tblPrEx>
        <w:trPr>
          <w:trHeight w:val="444" w:hRule="atLeast"/>
          <w:tblHeader/>
          <w:jc w:val="center"/>
        </w:trPr>
        <w:tc>
          <w:tcPr>
            <w:tcW w:w="5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黑体" w:hAnsi="黑体" w:eastAsia="黑体"/>
                <w:bCs/>
                <w:color w:val="000000"/>
                <w:kern w:val="0"/>
                <w:sz w:val="24"/>
              </w:rPr>
            </w:pPr>
          </w:p>
        </w:tc>
        <w:tc>
          <w:tcPr>
            <w:tcW w:w="11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黑体" w:hAnsi="黑体" w:eastAsia="黑体"/>
                <w:bCs/>
                <w:color w:val="000000"/>
                <w:kern w:val="0"/>
                <w:sz w:val="24"/>
              </w:rPr>
            </w:pPr>
          </w:p>
        </w:tc>
        <w:tc>
          <w:tcPr>
            <w:tcW w:w="2643"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left"/>
              <w:rPr>
                <w:rFonts w:ascii="黑体" w:hAnsi="黑体" w:eastAsia="黑体"/>
                <w:bCs/>
                <w:color w:val="000000"/>
                <w:kern w:val="0"/>
                <w:sz w:val="24"/>
              </w:rPr>
            </w:pPr>
          </w:p>
        </w:tc>
        <w:tc>
          <w:tcPr>
            <w:tcW w:w="1380" w:type="dxa"/>
            <w:tcBorders>
              <w:top w:val="nil"/>
              <w:left w:val="nil"/>
              <w:bottom w:val="single" w:color="auto" w:sz="4" w:space="0"/>
              <w:right w:val="single" w:color="auto" w:sz="4" w:space="0"/>
            </w:tcBorders>
            <w:noWrap w:val="0"/>
            <w:vAlign w:val="center"/>
          </w:tcPr>
          <w:p>
            <w:pPr>
              <w:widowControl/>
              <w:spacing w:line="280" w:lineRule="exact"/>
              <w:jc w:val="center"/>
              <w:rPr>
                <w:rFonts w:ascii="黑体" w:hAnsi="黑体" w:eastAsia="黑体"/>
                <w:bCs/>
                <w:color w:val="000000"/>
                <w:kern w:val="0"/>
                <w:sz w:val="24"/>
              </w:rPr>
            </w:pPr>
            <w:r>
              <w:rPr>
                <w:rFonts w:hint="eastAsia" w:ascii="黑体" w:hAnsi="黑体" w:eastAsia="黑体"/>
                <w:bCs/>
                <w:color w:val="000000"/>
                <w:kern w:val="0"/>
                <w:sz w:val="24"/>
              </w:rPr>
              <w:t>零星种植      （元∕棵）</w:t>
            </w:r>
          </w:p>
        </w:tc>
        <w:tc>
          <w:tcPr>
            <w:tcW w:w="3700" w:type="dxa"/>
            <w:tcBorders>
              <w:top w:val="nil"/>
              <w:left w:val="nil"/>
              <w:bottom w:val="single" w:color="auto" w:sz="4" w:space="0"/>
              <w:right w:val="single" w:color="auto" w:sz="4" w:space="0"/>
            </w:tcBorders>
            <w:noWrap w:val="0"/>
            <w:vAlign w:val="center"/>
          </w:tcPr>
          <w:p>
            <w:pPr>
              <w:widowControl/>
              <w:spacing w:line="280" w:lineRule="exact"/>
              <w:jc w:val="center"/>
              <w:rPr>
                <w:rFonts w:ascii="黑体" w:hAnsi="黑体" w:eastAsia="黑体"/>
                <w:bCs/>
                <w:color w:val="000000"/>
                <w:kern w:val="0"/>
                <w:sz w:val="24"/>
              </w:rPr>
            </w:pPr>
            <w:r>
              <w:rPr>
                <w:rFonts w:hint="eastAsia" w:ascii="黑体" w:hAnsi="黑体" w:eastAsia="黑体"/>
                <w:bCs/>
                <w:color w:val="000000"/>
                <w:kern w:val="0"/>
                <w:sz w:val="24"/>
              </w:rPr>
              <w:t>成片种植（元/亩）</w:t>
            </w:r>
          </w:p>
        </w:tc>
      </w:tr>
      <w:tr>
        <w:tblPrEx>
          <w:tblCellMar>
            <w:top w:w="0" w:type="dxa"/>
            <w:left w:w="108" w:type="dxa"/>
            <w:bottom w:w="0" w:type="dxa"/>
            <w:right w:w="108" w:type="dxa"/>
          </w:tblCellMar>
        </w:tblPrEx>
        <w:trPr>
          <w:trHeight w:val="810" w:hRule="atLeast"/>
          <w:jc w:val="center"/>
        </w:trPr>
        <w:tc>
          <w:tcPr>
            <w:tcW w:w="582" w:type="dxa"/>
            <w:vMerge w:val="restart"/>
            <w:tcBorders>
              <w:top w:val="nil"/>
              <w:left w:val="single" w:color="auto" w:sz="4" w:space="0"/>
              <w:bottom w:val="single" w:color="000000" w:sz="4" w:space="0"/>
              <w:right w:val="single" w:color="auto" w:sz="4" w:space="0"/>
            </w:tcBorders>
            <w:noWrap w:val="0"/>
            <w:vAlign w:val="center"/>
          </w:tcPr>
          <w:p>
            <w:pPr>
              <w:widowControl/>
              <w:spacing w:line="460" w:lineRule="exact"/>
              <w:jc w:val="center"/>
              <w:rPr>
                <w:rFonts w:ascii="仿宋" w:hAnsi="仿宋" w:eastAsia="仿宋" w:cs="仿宋"/>
                <w:color w:val="000000"/>
                <w:kern w:val="0"/>
                <w:sz w:val="24"/>
              </w:rPr>
            </w:pPr>
            <w:r>
              <w:rPr>
                <w:rFonts w:hint="eastAsia" w:ascii="仿宋" w:hAnsi="仿宋" w:eastAsia="仿宋" w:cs="仿宋"/>
                <w:color w:val="000000"/>
                <w:kern w:val="0"/>
                <w:sz w:val="24"/>
              </w:rPr>
              <w:t>1</w:t>
            </w:r>
          </w:p>
        </w:tc>
        <w:tc>
          <w:tcPr>
            <w:tcW w:w="1199" w:type="dxa"/>
            <w:vMerge w:val="restart"/>
            <w:tcBorders>
              <w:top w:val="nil"/>
              <w:left w:val="single" w:color="auto" w:sz="4" w:space="0"/>
              <w:bottom w:val="nil"/>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荔枝、</w:t>
            </w:r>
          </w:p>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龙眼</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特大棵（挂果，φ超过30CM）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1100—1500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成片种植最多补偿30棵，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补偿总额不超45000 </w:t>
            </w:r>
          </w:p>
        </w:tc>
      </w:tr>
      <w:tr>
        <w:tblPrEx>
          <w:tblCellMar>
            <w:top w:w="0" w:type="dxa"/>
            <w:left w:w="108" w:type="dxa"/>
            <w:bottom w:w="0" w:type="dxa"/>
            <w:right w:w="108" w:type="dxa"/>
          </w:tblCellMar>
        </w:tblPrEx>
        <w:trPr>
          <w:trHeight w:val="600" w:hRule="atLeast"/>
          <w:jc w:val="center"/>
        </w:trPr>
        <w:tc>
          <w:tcPr>
            <w:tcW w:w="582" w:type="dxa"/>
            <w:vMerge w:val="continue"/>
            <w:tcBorders>
              <w:top w:val="nil"/>
              <w:left w:val="single" w:color="auto" w:sz="4" w:space="0"/>
              <w:bottom w:val="single" w:color="000000"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nil"/>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大棵（挂果，φ20-30CM）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700—1100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成片种植最多补偿40棵，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补偿总额不超44000 </w:t>
            </w:r>
          </w:p>
        </w:tc>
      </w:tr>
      <w:tr>
        <w:tblPrEx>
          <w:tblCellMar>
            <w:top w:w="0" w:type="dxa"/>
            <w:left w:w="108" w:type="dxa"/>
            <w:bottom w:w="0" w:type="dxa"/>
            <w:right w:w="108" w:type="dxa"/>
          </w:tblCellMar>
        </w:tblPrEx>
        <w:trPr>
          <w:trHeight w:val="810" w:hRule="atLeast"/>
          <w:jc w:val="center"/>
        </w:trPr>
        <w:tc>
          <w:tcPr>
            <w:tcW w:w="582" w:type="dxa"/>
            <w:vMerge w:val="continue"/>
            <w:tcBorders>
              <w:top w:val="nil"/>
              <w:left w:val="single" w:color="auto" w:sz="4" w:space="0"/>
              <w:bottom w:val="single" w:color="000000"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nil"/>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中棵（挂果，φ10-20CM）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300—700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成片种植最多补偿50棵，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补偿总额不超35000 </w:t>
            </w:r>
          </w:p>
        </w:tc>
      </w:tr>
      <w:tr>
        <w:tblPrEx>
          <w:tblCellMar>
            <w:top w:w="0" w:type="dxa"/>
            <w:left w:w="108" w:type="dxa"/>
            <w:bottom w:w="0" w:type="dxa"/>
            <w:right w:w="108" w:type="dxa"/>
          </w:tblCellMar>
        </w:tblPrEx>
        <w:trPr>
          <w:trHeight w:val="810" w:hRule="atLeast"/>
          <w:jc w:val="center"/>
        </w:trPr>
        <w:tc>
          <w:tcPr>
            <w:tcW w:w="582" w:type="dxa"/>
            <w:vMerge w:val="continue"/>
            <w:tcBorders>
              <w:top w:val="nil"/>
              <w:left w:val="single" w:color="auto" w:sz="4" w:space="0"/>
              <w:bottom w:val="single" w:color="000000"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nil"/>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小棵（挂果，φ小于10CM）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80—300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成片种植最多补偿80棵，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补偿总额不超24000 </w:t>
            </w:r>
          </w:p>
        </w:tc>
      </w:tr>
      <w:tr>
        <w:tblPrEx>
          <w:tblCellMar>
            <w:top w:w="0" w:type="dxa"/>
            <w:left w:w="108" w:type="dxa"/>
            <w:bottom w:w="0" w:type="dxa"/>
            <w:right w:w="108" w:type="dxa"/>
          </w:tblCellMar>
        </w:tblPrEx>
        <w:trPr>
          <w:trHeight w:val="765" w:hRule="atLeast"/>
          <w:jc w:val="center"/>
        </w:trPr>
        <w:tc>
          <w:tcPr>
            <w:tcW w:w="582" w:type="dxa"/>
            <w:vMerge w:val="continue"/>
            <w:tcBorders>
              <w:top w:val="nil"/>
              <w:left w:val="single" w:color="auto" w:sz="4" w:space="0"/>
              <w:bottom w:val="single" w:color="000000"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nil"/>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幼棵（未挂果）</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20—80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成片种植最多补偿120棵，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补偿总额不超9600 </w:t>
            </w:r>
          </w:p>
        </w:tc>
      </w:tr>
      <w:tr>
        <w:tblPrEx>
          <w:tblCellMar>
            <w:top w:w="0" w:type="dxa"/>
            <w:left w:w="108" w:type="dxa"/>
            <w:bottom w:w="0" w:type="dxa"/>
            <w:right w:w="108" w:type="dxa"/>
          </w:tblCellMar>
        </w:tblPrEx>
        <w:trPr>
          <w:trHeight w:val="675" w:hRule="atLeast"/>
          <w:jc w:val="center"/>
        </w:trPr>
        <w:tc>
          <w:tcPr>
            <w:tcW w:w="582" w:type="dxa"/>
            <w:vMerge w:val="restart"/>
            <w:tcBorders>
              <w:top w:val="nil"/>
              <w:left w:val="single" w:color="auto" w:sz="4" w:space="0"/>
              <w:bottom w:val="single" w:color="000000" w:sz="4" w:space="0"/>
              <w:right w:val="single" w:color="auto" w:sz="4" w:space="0"/>
            </w:tcBorders>
            <w:noWrap w:val="0"/>
            <w:vAlign w:val="center"/>
          </w:tcPr>
          <w:p>
            <w:pPr>
              <w:widowControl/>
              <w:spacing w:line="460" w:lineRule="exact"/>
              <w:jc w:val="center"/>
              <w:rPr>
                <w:rFonts w:ascii="仿宋" w:hAnsi="仿宋" w:eastAsia="仿宋" w:cs="仿宋"/>
                <w:color w:val="000000"/>
                <w:kern w:val="0"/>
                <w:sz w:val="24"/>
              </w:rPr>
            </w:pPr>
            <w:r>
              <w:rPr>
                <w:rFonts w:hint="eastAsia" w:ascii="仿宋" w:hAnsi="仿宋" w:eastAsia="仿宋" w:cs="仿宋"/>
                <w:color w:val="000000"/>
                <w:kern w:val="0"/>
                <w:sz w:val="24"/>
              </w:rPr>
              <w:t>2</w:t>
            </w:r>
          </w:p>
        </w:tc>
        <w:tc>
          <w:tcPr>
            <w:tcW w:w="1199" w:type="dxa"/>
            <w:vMerge w:val="restart"/>
            <w:tcBorders>
              <w:top w:val="single" w:color="auto" w:sz="4" w:space="0"/>
              <w:left w:val="single" w:color="auto" w:sz="4" w:space="0"/>
              <w:bottom w:val="nil"/>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黄皮、沙梨、枇杷、柿子、橄榄、番石榴、栗树、</w:t>
            </w:r>
            <w:r>
              <w:rPr>
                <w:rFonts w:hint="eastAsia" w:ascii="仿宋" w:hAnsi="仿宋" w:eastAsia="仿宋" w:cs="仿宋"/>
                <w:color w:val="000000"/>
                <w:kern w:val="0"/>
                <w:sz w:val="24"/>
                <w:highlight w:val="none"/>
              </w:rPr>
              <w:t>芒果</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特大棵（挂果，φ超过25CM）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450—650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成片种植最多补偿35棵，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补偿为22500 </w:t>
            </w:r>
          </w:p>
        </w:tc>
      </w:tr>
      <w:tr>
        <w:tblPrEx>
          <w:tblCellMar>
            <w:top w:w="0" w:type="dxa"/>
            <w:left w:w="108" w:type="dxa"/>
            <w:bottom w:w="0" w:type="dxa"/>
            <w:right w:w="108" w:type="dxa"/>
          </w:tblCellMar>
        </w:tblPrEx>
        <w:trPr>
          <w:trHeight w:val="621" w:hRule="atLeast"/>
          <w:jc w:val="center"/>
        </w:trPr>
        <w:tc>
          <w:tcPr>
            <w:tcW w:w="582" w:type="dxa"/>
            <w:vMerge w:val="continue"/>
            <w:tcBorders>
              <w:top w:val="nil"/>
              <w:left w:val="single" w:color="auto" w:sz="4" w:space="0"/>
              <w:bottom w:val="single" w:color="000000"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single" w:color="auto" w:sz="4" w:space="0"/>
              <w:left w:val="single" w:color="auto" w:sz="4" w:space="0"/>
              <w:bottom w:val="nil"/>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大棵（挂果，φ15-25CM）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250—450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成片种植最多补偿50棵，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最高补偿不超22500 </w:t>
            </w:r>
          </w:p>
        </w:tc>
      </w:tr>
      <w:tr>
        <w:tblPrEx>
          <w:tblCellMar>
            <w:top w:w="0" w:type="dxa"/>
            <w:left w:w="108" w:type="dxa"/>
            <w:bottom w:w="0" w:type="dxa"/>
            <w:right w:w="108" w:type="dxa"/>
          </w:tblCellMar>
        </w:tblPrEx>
        <w:trPr>
          <w:trHeight w:val="584" w:hRule="atLeast"/>
          <w:jc w:val="center"/>
        </w:trPr>
        <w:tc>
          <w:tcPr>
            <w:tcW w:w="582" w:type="dxa"/>
            <w:vMerge w:val="continue"/>
            <w:tcBorders>
              <w:top w:val="nil"/>
              <w:left w:val="single" w:color="auto" w:sz="4" w:space="0"/>
              <w:bottom w:val="single" w:color="000000"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single" w:color="auto" w:sz="4" w:space="0"/>
              <w:left w:val="single" w:color="auto" w:sz="4" w:space="0"/>
              <w:bottom w:val="nil"/>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中棵（挂果，φ小于15CM）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50—250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成片种植最多补偿60棵，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最高补偿不超15000 </w:t>
            </w:r>
          </w:p>
        </w:tc>
      </w:tr>
      <w:tr>
        <w:tblPrEx>
          <w:tblCellMar>
            <w:top w:w="0" w:type="dxa"/>
            <w:left w:w="108" w:type="dxa"/>
            <w:bottom w:w="0" w:type="dxa"/>
            <w:right w:w="108" w:type="dxa"/>
          </w:tblCellMar>
        </w:tblPrEx>
        <w:trPr>
          <w:trHeight w:val="545" w:hRule="atLeast"/>
          <w:jc w:val="center"/>
        </w:trPr>
        <w:tc>
          <w:tcPr>
            <w:tcW w:w="582" w:type="dxa"/>
            <w:vMerge w:val="continue"/>
            <w:tcBorders>
              <w:top w:val="nil"/>
              <w:left w:val="single" w:color="auto" w:sz="4" w:space="0"/>
              <w:bottom w:val="single" w:color="000000"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single" w:color="auto" w:sz="4" w:space="0"/>
              <w:left w:val="single" w:color="auto" w:sz="4" w:space="0"/>
              <w:bottom w:val="nil"/>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小棵（未挂果）</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10—50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成片种植最多补偿80棵，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最高补偿不超4000 </w:t>
            </w:r>
          </w:p>
        </w:tc>
      </w:tr>
      <w:tr>
        <w:tblPrEx>
          <w:tblCellMar>
            <w:top w:w="0" w:type="dxa"/>
            <w:left w:w="108" w:type="dxa"/>
            <w:bottom w:w="0" w:type="dxa"/>
            <w:right w:w="108" w:type="dxa"/>
          </w:tblCellMar>
        </w:tblPrEx>
        <w:trPr>
          <w:trHeight w:val="271" w:hRule="atLeast"/>
          <w:jc w:val="center"/>
        </w:trPr>
        <w:tc>
          <w:tcPr>
            <w:tcW w:w="582" w:type="dxa"/>
            <w:vMerge w:val="restart"/>
            <w:tcBorders>
              <w:top w:val="nil"/>
              <w:left w:val="single" w:color="auto" w:sz="4" w:space="0"/>
              <w:bottom w:val="single" w:color="000000" w:sz="4" w:space="0"/>
              <w:right w:val="single" w:color="auto" w:sz="4" w:space="0"/>
            </w:tcBorders>
            <w:noWrap w:val="0"/>
            <w:vAlign w:val="center"/>
          </w:tcPr>
          <w:p>
            <w:pPr>
              <w:widowControl/>
              <w:spacing w:line="460" w:lineRule="exact"/>
              <w:jc w:val="center"/>
              <w:rPr>
                <w:rFonts w:ascii="仿宋" w:hAnsi="仿宋" w:eastAsia="仿宋" w:cs="仿宋"/>
                <w:color w:val="000000"/>
                <w:kern w:val="0"/>
                <w:sz w:val="24"/>
              </w:rPr>
            </w:pPr>
            <w:r>
              <w:rPr>
                <w:rFonts w:hint="eastAsia" w:ascii="仿宋" w:hAnsi="仿宋" w:eastAsia="仿宋" w:cs="仿宋"/>
                <w:color w:val="000000"/>
                <w:kern w:val="0"/>
                <w:sz w:val="24"/>
              </w:rPr>
              <w:t>3</w:t>
            </w:r>
          </w:p>
        </w:tc>
        <w:tc>
          <w:tcPr>
            <w:tcW w:w="119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桃、李、梅、杨桃、枣、柚子</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特大棵（挂果，φ超过20CM）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170—250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成片种植最多补偿55棵，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补偿为13750 </w:t>
            </w:r>
          </w:p>
        </w:tc>
      </w:tr>
      <w:tr>
        <w:tblPrEx>
          <w:tblCellMar>
            <w:top w:w="0" w:type="dxa"/>
            <w:left w:w="108" w:type="dxa"/>
            <w:bottom w:w="0" w:type="dxa"/>
            <w:right w:w="108" w:type="dxa"/>
          </w:tblCellMar>
        </w:tblPrEx>
        <w:trPr>
          <w:trHeight w:val="227" w:hRule="atLeast"/>
          <w:jc w:val="center"/>
        </w:trPr>
        <w:tc>
          <w:tcPr>
            <w:tcW w:w="582" w:type="dxa"/>
            <w:vMerge w:val="continue"/>
            <w:tcBorders>
              <w:top w:val="nil"/>
              <w:left w:val="single" w:color="auto" w:sz="4" w:space="0"/>
              <w:bottom w:val="single" w:color="000000"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大棵（挂果，φ10-20CM）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90—170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成片种植最多补偿75棵，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最高补偿不超12750 </w:t>
            </w:r>
          </w:p>
        </w:tc>
      </w:tr>
      <w:tr>
        <w:tblPrEx>
          <w:tblCellMar>
            <w:top w:w="0" w:type="dxa"/>
            <w:left w:w="108" w:type="dxa"/>
            <w:bottom w:w="0" w:type="dxa"/>
            <w:right w:w="108" w:type="dxa"/>
          </w:tblCellMar>
        </w:tblPrEx>
        <w:trPr>
          <w:trHeight w:val="386" w:hRule="atLeast"/>
          <w:jc w:val="center"/>
        </w:trPr>
        <w:tc>
          <w:tcPr>
            <w:tcW w:w="582" w:type="dxa"/>
            <w:vMerge w:val="continue"/>
            <w:tcBorders>
              <w:top w:val="nil"/>
              <w:left w:val="single" w:color="auto" w:sz="4" w:space="0"/>
              <w:bottom w:val="single" w:color="000000"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中棵（挂果，φ5-10CM）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20—90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成片种植最多补偿90棵，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最高补偿不超8100 </w:t>
            </w:r>
          </w:p>
        </w:tc>
      </w:tr>
      <w:tr>
        <w:tblPrEx>
          <w:tblCellMar>
            <w:top w:w="0" w:type="dxa"/>
            <w:left w:w="108" w:type="dxa"/>
            <w:bottom w:w="0" w:type="dxa"/>
            <w:right w:w="108" w:type="dxa"/>
          </w:tblCellMar>
        </w:tblPrEx>
        <w:trPr>
          <w:trHeight w:val="272" w:hRule="atLeast"/>
          <w:jc w:val="center"/>
        </w:trPr>
        <w:tc>
          <w:tcPr>
            <w:tcW w:w="582" w:type="dxa"/>
            <w:vMerge w:val="continue"/>
            <w:tcBorders>
              <w:top w:val="nil"/>
              <w:left w:val="single" w:color="auto" w:sz="4" w:space="0"/>
              <w:bottom w:val="single" w:color="000000"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小棵（挂果，φ小于5CM）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10—20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成片种植最多补偿120棵，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最高补偿不超2400 </w:t>
            </w:r>
          </w:p>
        </w:tc>
      </w:tr>
      <w:tr>
        <w:tblPrEx>
          <w:tblCellMar>
            <w:top w:w="0" w:type="dxa"/>
            <w:left w:w="108" w:type="dxa"/>
            <w:bottom w:w="0" w:type="dxa"/>
            <w:right w:w="108" w:type="dxa"/>
          </w:tblCellMar>
        </w:tblPrEx>
        <w:trPr>
          <w:trHeight w:val="265" w:hRule="atLeast"/>
          <w:jc w:val="center"/>
        </w:trPr>
        <w:tc>
          <w:tcPr>
            <w:tcW w:w="582" w:type="dxa"/>
            <w:vMerge w:val="restart"/>
            <w:tcBorders>
              <w:top w:val="nil"/>
              <w:left w:val="single" w:color="auto" w:sz="4" w:space="0"/>
              <w:bottom w:val="single" w:color="auto" w:sz="4" w:space="0"/>
              <w:right w:val="single" w:color="auto" w:sz="4" w:space="0"/>
            </w:tcBorders>
            <w:noWrap w:val="0"/>
            <w:vAlign w:val="center"/>
          </w:tcPr>
          <w:p>
            <w:pPr>
              <w:widowControl/>
              <w:spacing w:line="460" w:lineRule="exact"/>
              <w:jc w:val="center"/>
              <w:rPr>
                <w:rFonts w:ascii="仿宋" w:hAnsi="仿宋" w:eastAsia="仿宋" w:cs="仿宋"/>
                <w:color w:val="000000"/>
                <w:kern w:val="0"/>
                <w:sz w:val="24"/>
              </w:rPr>
            </w:pPr>
            <w:r>
              <w:rPr>
                <w:rFonts w:hint="eastAsia" w:ascii="仿宋" w:hAnsi="仿宋" w:eastAsia="仿宋" w:cs="仿宋"/>
                <w:color w:val="000000"/>
                <w:kern w:val="0"/>
                <w:sz w:val="24"/>
              </w:rPr>
              <w:t>4</w:t>
            </w:r>
          </w:p>
        </w:tc>
        <w:tc>
          <w:tcPr>
            <w:tcW w:w="1199"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杉、松、桉、梧树及其他杂树（用材林）</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特大棵（φ超过25CM）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150-200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成片种植的补偿为4500 </w:t>
            </w:r>
          </w:p>
        </w:tc>
      </w:tr>
      <w:tr>
        <w:tblPrEx>
          <w:tblCellMar>
            <w:top w:w="0" w:type="dxa"/>
            <w:left w:w="108" w:type="dxa"/>
            <w:bottom w:w="0" w:type="dxa"/>
            <w:right w:w="108" w:type="dxa"/>
          </w:tblCellMar>
        </w:tblPrEx>
        <w:trPr>
          <w:trHeight w:val="416"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大棵（φ15-25CM）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50-150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成片种植的补偿为3500 </w:t>
            </w:r>
          </w:p>
        </w:tc>
      </w:tr>
      <w:tr>
        <w:tblPrEx>
          <w:tblCellMar>
            <w:top w:w="0" w:type="dxa"/>
            <w:left w:w="108" w:type="dxa"/>
            <w:bottom w:w="0" w:type="dxa"/>
            <w:right w:w="108" w:type="dxa"/>
          </w:tblCellMar>
        </w:tblPrEx>
        <w:trPr>
          <w:trHeight w:val="330"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中棵（φ8-15CM）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20—50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成片种植的补偿为2500 </w:t>
            </w:r>
          </w:p>
        </w:tc>
      </w:tr>
      <w:tr>
        <w:tblPrEx>
          <w:tblCellMar>
            <w:top w:w="0" w:type="dxa"/>
            <w:left w:w="108" w:type="dxa"/>
            <w:bottom w:w="0" w:type="dxa"/>
            <w:right w:w="108" w:type="dxa"/>
          </w:tblCellMar>
        </w:tblPrEx>
        <w:trPr>
          <w:trHeight w:val="412"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小棵（φ小于8CM）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10—20</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成片种植的补偿为1500 </w:t>
            </w:r>
          </w:p>
        </w:tc>
      </w:tr>
      <w:tr>
        <w:tblPrEx>
          <w:tblCellMar>
            <w:top w:w="0" w:type="dxa"/>
            <w:left w:w="108" w:type="dxa"/>
            <w:bottom w:w="0" w:type="dxa"/>
            <w:right w:w="108" w:type="dxa"/>
          </w:tblCellMar>
        </w:tblPrEx>
        <w:trPr>
          <w:trHeight w:val="690" w:hRule="atLeast"/>
          <w:jc w:val="center"/>
        </w:trPr>
        <w:tc>
          <w:tcPr>
            <w:tcW w:w="582" w:type="dxa"/>
            <w:vMerge w:val="restart"/>
            <w:tcBorders>
              <w:top w:val="nil"/>
              <w:left w:val="single" w:color="auto" w:sz="4" w:space="0"/>
              <w:bottom w:val="single" w:color="000000" w:sz="4" w:space="0"/>
              <w:right w:val="single" w:color="auto" w:sz="4" w:space="0"/>
            </w:tcBorders>
            <w:noWrap w:val="0"/>
            <w:vAlign w:val="center"/>
          </w:tcPr>
          <w:p>
            <w:pPr>
              <w:widowControl/>
              <w:spacing w:line="460" w:lineRule="exact"/>
              <w:jc w:val="center"/>
              <w:rPr>
                <w:rFonts w:ascii="仿宋" w:hAnsi="仿宋" w:eastAsia="仿宋" w:cs="仿宋"/>
                <w:color w:val="000000"/>
                <w:kern w:val="0"/>
                <w:sz w:val="24"/>
              </w:rPr>
            </w:pPr>
            <w:r>
              <w:rPr>
                <w:rFonts w:hint="eastAsia" w:ascii="仿宋" w:hAnsi="仿宋" w:eastAsia="仿宋" w:cs="仿宋"/>
                <w:color w:val="000000"/>
                <w:kern w:val="0"/>
                <w:sz w:val="24"/>
              </w:rPr>
              <w:t>5</w:t>
            </w:r>
          </w:p>
        </w:tc>
        <w:tc>
          <w:tcPr>
            <w:tcW w:w="1199" w:type="dxa"/>
            <w:vMerge w:val="restart"/>
            <w:tcBorders>
              <w:top w:val="nil"/>
              <w:left w:val="single" w:color="auto" w:sz="4" w:space="0"/>
              <w:bottom w:val="single" w:color="000000" w:sz="4" w:space="0"/>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果树苗   （乔木类）</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大果苗（未挂果，树高大于1.3m）</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12</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成片种植平均密度不小于500棵/亩，最高补偿不超6000。</w:t>
            </w:r>
          </w:p>
        </w:tc>
      </w:tr>
      <w:tr>
        <w:tblPrEx>
          <w:tblCellMar>
            <w:top w:w="0" w:type="dxa"/>
            <w:left w:w="108" w:type="dxa"/>
            <w:bottom w:w="0" w:type="dxa"/>
            <w:right w:w="108" w:type="dxa"/>
          </w:tblCellMar>
        </w:tblPrEx>
        <w:trPr>
          <w:trHeight w:val="630" w:hRule="atLeast"/>
          <w:jc w:val="center"/>
        </w:trPr>
        <w:tc>
          <w:tcPr>
            <w:tcW w:w="582" w:type="dxa"/>
            <w:vMerge w:val="continue"/>
            <w:tcBorders>
              <w:top w:val="nil"/>
              <w:left w:val="single" w:color="auto" w:sz="4" w:space="0"/>
              <w:bottom w:val="single" w:color="000000"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000000"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中果苗（未挂果，树高0.5-1.3m</w:t>
            </w:r>
            <w:r>
              <w:rPr>
                <w:rFonts w:hint="eastAsia" w:ascii="仿宋" w:hAnsi="仿宋" w:eastAsia="仿宋" w:cs="仿宋"/>
                <w:color w:val="000000"/>
                <w:kern w:val="0"/>
                <w:sz w:val="24"/>
                <w:highlight w:val="none"/>
              </w:rPr>
              <w:t>)</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5</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成片种植平均密度不小于1000棵/亩，最高补偿不超5000 </w:t>
            </w:r>
          </w:p>
        </w:tc>
      </w:tr>
      <w:tr>
        <w:tblPrEx>
          <w:tblCellMar>
            <w:top w:w="0" w:type="dxa"/>
            <w:left w:w="108" w:type="dxa"/>
            <w:bottom w:w="0" w:type="dxa"/>
            <w:right w:w="108" w:type="dxa"/>
          </w:tblCellMar>
        </w:tblPrEx>
        <w:trPr>
          <w:trHeight w:val="690" w:hRule="atLeast"/>
          <w:jc w:val="center"/>
        </w:trPr>
        <w:tc>
          <w:tcPr>
            <w:tcW w:w="582" w:type="dxa"/>
            <w:vMerge w:val="continue"/>
            <w:tcBorders>
              <w:top w:val="nil"/>
              <w:left w:val="single" w:color="auto" w:sz="4" w:space="0"/>
              <w:bottom w:val="single" w:color="000000"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000000"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小果苗（未挂果，树高小于0.5m</w:t>
            </w:r>
            <w:r>
              <w:rPr>
                <w:rFonts w:hint="eastAsia" w:ascii="仿宋" w:hAnsi="仿宋" w:eastAsia="仿宋" w:cs="仿宋"/>
                <w:color w:val="000000"/>
                <w:kern w:val="0"/>
                <w:sz w:val="24"/>
                <w:highlight w:val="none"/>
              </w:rPr>
              <w:t>)</w:t>
            </w:r>
          </w:p>
        </w:tc>
        <w:tc>
          <w:tcPr>
            <w:tcW w:w="1380" w:type="dxa"/>
            <w:tcBorders>
              <w:top w:val="nil"/>
              <w:left w:val="nil"/>
              <w:bottom w:val="single" w:color="auto" w:sz="4" w:space="0"/>
              <w:right w:val="nil"/>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2</w:t>
            </w:r>
          </w:p>
        </w:tc>
        <w:tc>
          <w:tcPr>
            <w:tcW w:w="3700"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成片种植平均密度不小于2000棵/亩，最高补偿不超4000 </w:t>
            </w:r>
          </w:p>
        </w:tc>
      </w:tr>
      <w:tr>
        <w:tblPrEx>
          <w:tblCellMar>
            <w:top w:w="0" w:type="dxa"/>
            <w:left w:w="108" w:type="dxa"/>
            <w:bottom w:w="0" w:type="dxa"/>
            <w:right w:w="108" w:type="dxa"/>
          </w:tblCellMar>
        </w:tblPrEx>
        <w:trPr>
          <w:trHeight w:val="553" w:hRule="atLeast"/>
          <w:jc w:val="center"/>
        </w:trPr>
        <w:tc>
          <w:tcPr>
            <w:tcW w:w="582" w:type="dxa"/>
            <w:vMerge w:val="restart"/>
            <w:tcBorders>
              <w:top w:val="nil"/>
              <w:left w:val="single" w:color="auto" w:sz="4" w:space="0"/>
              <w:bottom w:val="single" w:color="auto" w:sz="4" w:space="0"/>
              <w:right w:val="single" w:color="auto" w:sz="4" w:space="0"/>
            </w:tcBorders>
            <w:noWrap w:val="0"/>
            <w:vAlign w:val="center"/>
          </w:tcPr>
          <w:p>
            <w:pPr>
              <w:widowControl/>
              <w:spacing w:line="460" w:lineRule="exact"/>
              <w:jc w:val="center"/>
              <w:rPr>
                <w:rFonts w:ascii="仿宋" w:hAnsi="仿宋" w:eastAsia="仿宋" w:cs="仿宋"/>
                <w:color w:val="000000"/>
                <w:kern w:val="0"/>
                <w:sz w:val="24"/>
              </w:rPr>
            </w:pPr>
            <w:r>
              <w:rPr>
                <w:rFonts w:hint="eastAsia" w:ascii="仿宋" w:hAnsi="仿宋" w:eastAsia="仿宋" w:cs="仿宋"/>
                <w:color w:val="000000"/>
                <w:kern w:val="0"/>
                <w:sz w:val="24"/>
              </w:rPr>
              <w:t>6</w:t>
            </w:r>
          </w:p>
        </w:tc>
        <w:tc>
          <w:tcPr>
            <w:tcW w:w="1199"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柑、桔、橙、人参果等其他杂果</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特大棵（挂果，树高大于2.0m）</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170—250</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成片种植最多补偿60棵，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补偿为15000元/亩</w:t>
            </w:r>
          </w:p>
        </w:tc>
      </w:tr>
      <w:tr>
        <w:tblPrEx>
          <w:tblCellMar>
            <w:top w:w="0" w:type="dxa"/>
            <w:left w:w="108" w:type="dxa"/>
            <w:bottom w:w="0" w:type="dxa"/>
            <w:right w:w="108" w:type="dxa"/>
          </w:tblCellMar>
        </w:tblPrEx>
        <w:trPr>
          <w:trHeight w:val="834"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大棵（挂果，树高1.5-2.0m）</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100—170</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成片种植最多补偿75棵，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最高补偿不超12750 </w:t>
            </w:r>
          </w:p>
        </w:tc>
      </w:tr>
      <w:tr>
        <w:tblPrEx>
          <w:tblCellMar>
            <w:top w:w="0" w:type="dxa"/>
            <w:left w:w="108" w:type="dxa"/>
            <w:bottom w:w="0" w:type="dxa"/>
            <w:right w:w="108" w:type="dxa"/>
          </w:tblCellMar>
        </w:tblPrEx>
        <w:trPr>
          <w:trHeight w:val="750"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中棵（挂果，树高1-1.5m）</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20—100</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成片种植最多补偿75棵，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最高补偿不超7600 </w:t>
            </w:r>
          </w:p>
        </w:tc>
      </w:tr>
      <w:tr>
        <w:tblPrEx>
          <w:tblCellMar>
            <w:top w:w="0" w:type="dxa"/>
            <w:left w:w="108" w:type="dxa"/>
            <w:bottom w:w="0" w:type="dxa"/>
            <w:right w:w="108" w:type="dxa"/>
          </w:tblCellMar>
        </w:tblPrEx>
        <w:trPr>
          <w:trHeight w:val="591"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小棵（挂果，树高小1m）</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5—20</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成片种植最多补偿80棵，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最高补偿不超1600 </w:t>
            </w:r>
          </w:p>
        </w:tc>
      </w:tr>
      <w:tr>
        <w:tblPrEx>
          <w:tblCellMar>
            <w:top w:w="0" w:type="dxa"/>
            <w:left w:w="108" w:type="dxa"/>
            <w:bottom w:w="0" w:type="dxa"/>
            <w:right w:w="108" w:type="dxa"/>
          </w:tblCellMar>
        </w:tblPrEx>
        <w:trPr>
          <w:trHeight w:val="585" w:hRule="atLeast"/>
          <w:jc w:val="center"/>
        </w:trPr>
        <w:tc>
          <w:tcPr>
            <w:tcW w:w="582" w:type="dxa"/>
            <w:vMerge w:val="restart"/>
            <w:tcBorders>
              <w:top w:val="nil"/>
              <w:left w:val="single" w:color="auto" w:sz="4" w:space="0"/>
              <w:bottom w:val="single" w:color="auto" w:sz="4" w:space="0"/>
              <w:right w:val="single" w:color="auto" w:sz="4" w:space="0"/>
            </w:tcBorders>
            <w:noWrap w:val="0"/>
            <w:vAlign w:val="center"/>
          </w:tcPr>
          <w:p>
            <w:pPr>
              <w:widowControl/>
              <w:spacing w:line="460" w:lineRule="exact"/>
              <w:jc w:val="center"/>
              <w:rPr>
                <w:rFonts w:ascii="仿宋" w:hAnsi="仿宋" w:eastAsia="仿宋" w:cs="仿宋"/>
                <w:color w:val="000000"/>
                <w:kern w:val="0"/>
                <w:sz w:val="24"/>
              </w:rPr>
            </w:pPr>
            <w:r>
              <w:rPr>
                <w:rFonts w:hint="eastAsia" w:ascii="仿宋" w:hAnsi="仿宋" w:eastAsia="仿宋" w:cs="仿宋"/>
                <w:color w:val="000000"/>
                <w:kern w:val="0"/>
                <w:sz w:val="24"/>
              </w:rPr>
              <w:t>7</w:t>
            </w:r>
          </w:p>
        </w:tc>
        <w:tc>
          <w:tcPr>
            <w:tcW w:w="1199"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茶树</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大棵（冠幅1.5m以上）</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90</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成片种植每亩种植平均密度不小于60棵/亩，最高补偿不超5400 </w:t>
            </w:r>
          </w:p>
        </w:tc>
      </w:tr>
      <w:tr>
        <w:tblPrEx>
          <w:tblCellMar>
            <w:top w:w="0" w:type="dxa"/>
            <w:left w:w="108" w:type="dxa"/>
            <w:bottom w:w="0" w:type="dxa"/>
            <w:right w:w="108" w:type="dxa"/>
          </w:tblCellMar>
        </w:tblPrEx>
        <w:trPr>
          <w:trHeight w:val="615"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中棵（冠幅1-1.5m）</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45</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成片种植每亩种植平均密度不小于90棵/亩，最高补偿不超4500 </w:t>
            </w:r>
          </w:p>
        </w:tc>
      </w:tr>
      <w:tr>
        <w:tblPrEx>
          <w:tblCellMar>
            <w:top w:w="0" w:type="dxa"/>
            <w:left w:w="108" w:type="dxa"/>
            <w:bottom w:w="0" w:type="dxa"/>
            <w:right w:w="108" w:type="dxa"/>
          </w:tblCellMar>
        </w:tblPrEx>
        <w:trPr>
          <w:trHeight w:val="647"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小棵（冠幅0.5-1.0m）</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13</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成片种植每亩种植平均密度不小于120棵/亩，最高补偿不超1600 </w:t>
            </w:r>
          </w:p>
        </w:tc>
      </w:tr>
      <w:tr>
        <w:tblPrEx>
          <w:tblCellMar>
            <w:top w:w="0" w:type="dxa"/>
            <w:left w:w="108" w:type="dxa"/>
            <w:bottom w:w="0" w:type="dxa"/>
            <w:right w:w="108" w:type="dxa"/>
          </w:tblCellMar>
        </w:tblPrEx>
        <w:trPr>
          <w:trHeight w:val="603"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幼苗（冠幅小于0.5m）</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3</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成片种植每亩种植平均密度不小于200棵/亩，最高补偿不超1000 </w:t>
            </w:r>
          </w:p>
        </w:tc>
      </w:tr>
      <w:tr>
        <w:tblPrEx>
          <w:tblCellMar>
            <w:top w:w="0" w:type="dxa"/>
            <w:left w:w="108" w:type="dxa"/>
            <w:bottom w:w="0" w:type="dxa"/>
            <w:right w:w="108" w:type="dxa"/>
          </w:tblCellMar>
        </w:tblPrEx>
        <w:trPr>
          <w:trHeight w:val="570" w:hRule="atLeast"/>
          <w:jc w:val="center"/>
        </w:trPr>
        <w:tc>
          <w:tcPr>
            <w:tcW w:w="582" w:type="dxa"/>
            <w:vMerge w:val="restart"/>
            <w:tcBorders>
              <w:top w:val="nil"/>
              <w:left w:val="single" w:color="auto" w:sz="4" w:space="0"/>
              <w:bottom w:val="single" w:color="auto" w:sz="4" w:space="0"/>
              <w:right w:val="single" w:color="auto" w:sz="4" w:space="0"/>
            </w:tcBorders>
            <w:noWrap w:val="0"/>
            <w:vAlign w:val="center"/>
          </w:tcPr>
          <w:p>
            <w:pPr>
              <w:widowControl/>
              <w:spacing w:line="460" w:lineRule="exact"/>
              <w:jc w:val="center"/>
              <w:rPr>
                <w:rFonts w:ascii="仿宋" w:hAnsi="仿宋" w:eastAsia="仿宋" w:cs="仿宋"/>
                <w:color w:val="000000"/>
                <w:kern w:val="0"/>
                <w:sz w:val="24"/>
              </w:rPr>
            </w:pPr>
            <w:r>
              <w:rPr>
                <w:rFonts w:hint="eastAsia" w:ascii="仿宋" w:hAnsi="仿宋" w:eastAsia="仿宋" w:cs="仿宋"/>
                <w:color w:val="000000"/>
                <w:kern w:val="0"/>
                <w:sz w:val="24"/>
              </w:rPr>
              <w:t>8</w:t>
            </w:r>
          </w:p>
        </w:tc>
        <w:tc>
          <w:tcPr>
            <w:tcW w:w="1199"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火龙果</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大（已挂果，种植5年及以上有水泥架）</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200元/墩</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成片种植每亩最多补偿160墩,</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最高补偿32000 </w:t>
            </w:r>
          </w:p>
        </w:tc>
      </w:tr>
      <w:tr>
        <w:tblPrEx>
          <w:tblCellMar>
            <w:top w:w="0" w:type="dxa"/>
            <w:left w:w="108" w:type="dxa"/>
            <w:bottom w:w="0" w:type="dxa"/>
            <w:right w:w="108" w:type="dxa"/>
          </w:tblCellMar>
        </w:tblPrEx>
        <w:trPr>
          <w:trHeight w:val="570"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中（已挂果，种植4年以上有水泥架）</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160元/墩</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成片种植每亩最多补偿160墩,</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最高补偿25600元/亩。</w:t>
            </w:r>
          </w:p>
        </w:tc>
      </w:tr>
      <w:tr>
        <w:tblPrEx>
          <w:tblCellMar>
            <w:top w:w="0" w:type="dxa"/>
            <w:left w:w="108" w:type="dxa"/>
            <w:bottom w:w="0" w:type="dxa"/>
            <w:right w:w="108" w:type="dxa"/>
          </w:tblCellMar>
        </w:tblPrEx>
        <w:trPr>
          <w:trHeight w:val="570"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小（已挂果，种植2年以上有水泥架）</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80元/墩</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成片种植每亩最多补偿160墩,</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最高补偿12800元。</w:t>
            </w:r>
          </w:p>
        </w:tc>
      </w:tr>
      <w:tr>
        <w:tblPrEx>
          <w:tblCellMar>
            <w:top w:w="0" w:type="dxa"/>
            <w:left w:w="108" w:type="dxa"/>
            <w:bottom w:w="0" w:type="dxa"/>
            <w:right w:w="108" w:type="dxa"/>
          </w:tblCellMar>
        </w:tblPrEx>
        <w:trPr>
          <w:trHeight w:val="750"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幼（种植不足2年，有水泥架）</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40元/墩</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成片种植每亩最多补偿160墩,</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最高补偿6400 </w:t>
            </w:r>
          </w:p>
        </w:tc>
      </w:tr>
      <w:tr>
        <w:tblPrEx>
          <w:tblCellMar>
            <w:top w:w="0" w:type="dxa"/>
            <w:left w:w="108" w:type="dxa"/>
            <w:bottom w:w="0" w:type="dxa"/>
            <w:right w:w="108" w:type="dxa"/>
          </w:tblCellMar>
        </w:tblPrEx>
        <w:trPr>
          <w:trHeight w:val="705" w:hRule="atLeast"/>
          <w:jc w:val="center"/>
        </w:trPr>
        <w:tc>
          <w:tcPr>
            <w:tcW w:w="582" w:type="dxa"/>
            <w:vMerge w:val="restart"/>
            <w:tcBorders>
              <w:top w:val="nil"/>
              <w:left w:val="single" w:color="auto" w:sz="4" w:space="0"/>
              <w:bottom w:val="single" w:color="000000" w:sz="4" w:space="0"/>
              <w:right w:val="single" w:color="auto" w:sz="4" w:space="0"/>
            </w:tcBorders>
            <w:noWrap w:val="0"/>
            <w:vAlign w:val="center"/>
          </w:tcPr>
          <w:p>
            <w:pPr>
              <w:widowControl/>
              <w:spacing w:line="460" w:lineRule="exact"/>
              <w:jc w:val="center"/>
              <w:rPr>
                <w:rFonts w:ascii="仿宋" w:hAnsi="仿宋" w:eastAsia="仿宋" w:cs="仿宋"/>
                <w:color w:val="000000"/>
                <w:kern w:val="0"/>
                <w:sz w:val="24"/>
              </w:rPr>
            </w:pPr>
            <w:r>
              <w:rPr>
                <w:rFonts w:hint="eastAsia" w:ascii="仿宋" w:hAnsi="仿宋" w:eastAsia="仿宋" w:cs="仿宋"/>
                <w:color w:val="000000"/>
                <w:kern w:val="0"/>
                <w:sz w:val="24"/>
              </w:rPr>
              <w:t>9</w:t>
            </w:r>
          </w:p>
        </w:tc>
        <w:tc>
          <w:tcPr>
            <w:tcW w:w="1199" w:type="dxa"/>
            <w:vMerge w:val="restart"/>
            <w:tcBorders>
              <w:top w:val="nil"/>
              <w:left w:val="single" w:color="auto" w:sz="4" w:space="0"/>
              <w:bottom w:val="single" w:color="000000" w:sz="4" w:space="0"/>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百香果、葡萄</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大（已挂果，种植2年以上）</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150-200</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成片种植每亩最多补偿200棵,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最高补偿40000 </w:t>
            </w:r>
          </w:p>
        </w:tc>
      </w:tr>
      <w:tr>
        <w:tblPrEx>
          <w:tblCellMar>
            <w:top w:w="0" w:type="dxa"/>
            <w:left w:w="108" w:type="dxa"/>
            <w:bottom w:w="0" w:type="dxa"/>
            <w:right w:w="108" w:type="dxa"/>
          </w:tblCellMar>
        </w:tblPrEx>
        <w:trPr>
          <w:trHeight w:val="720" w:hRule="atLeast"/>
          <w:jc w:val="center"/>
        </w:trPr>
        <w:tc>
          <w:tcPr>
            <w:tcW w:w="582" w:type="dxa"/>
            <w:vMerge w:val="continue"/>
            <w:tcBorders>
              <w:top w:val="nil"/>
              <w:left w:val="single" w:color="auto" w:sz="4" w:space="0"/>
              <w:bottom w:val="single" w:color="000000"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000000"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中（已挂果，种植1年以上）</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100-150</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成片种植每亩最多补偿200棵,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最高补偿30000 </w:t>
            </w:r>
          </w:p>
        </w:tc>
      </w:tr>
      <w:tr>
        <w:tblPrEx>
          <w:tblCellMar>
            <w:top w:w="0" w:type="dxa"/>
            <w:left w:w="108" w:type="dxa"/>
            <w:bottom w:w="0" w:type="dxa"/>
            <w:right w:w="108" w:type="dxa"/>
          </w:tblCellMar>
        </w:tblPrEx>
        <w:trPr>
          <w:trHeight w:val="630" w:hRule="atLeast"/>
          <w:jc w:val="center"/>
        </w:trPr>
        <w:tc>
          <w:tcPr>
            <w:tcW w:w="582" w:type="dxa"/>
            <w:vMerge w:val="continue"/>
            <w:tcBorders>
              <w:top w:val="nil"/>
              <w:left w:val="single" w:color="auto" w:sz="4" w:space="0"/>
              <w:bottom w:val="single" w:color="000000"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000000"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小（未挂果，种植1年以上）</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15-100</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成片种植每亩最多补偿200棵,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最高补偿20000 </w:t>
            </w:r>
          </w:p>
        </w:tc>
      </w:tr>
      <w:tr>
        <w:tblPrEx>
          <w:tblCellMar>
            <w:top w:w="0" w:type="dxa"/>
            <w:left w:w="108" w:type="dxa"/>
            <w:bottom w:w="0" w:type="dxa"/>
            <w:right w:w="108" w:type="dxa"/>
          </w:tblCellMar>
        </w:tblPrEx>
        <w:trPr>
          <w:trHeight w:val="285" w:hRule="atLeast"/>
          <w:jc w:val="center"/>
        </w:trPr>
        <w:tc>
          <w:tcPr>
            <w:tcW w:w="582" w:type="dxa"/>
            <w:vMerge w:val="restart"/>
            <w:tcBorders>
              <w:top w:val="nil"/>
              <w:left w:val="single" w:color="auto" w:sz="4" w:space="0"/>
              <w:bottom w:val="single" w:color="000000" w:sz="4" w:space="0"/>
              <w:right w:val="single" w:color="auto" w:sz="4" w:space="0"/>
            </w:tcBorders>
            <w:noWrap w:val="0"/>
            <w:vAlign w:val="center"/>
          </w:tcPr>
          <w:p>
            <w:pPr>
              <w:widowControl/>
              <w:spacing w:line="460" w:lineRule="exact"/>
              <w:jc w:val="center"/>
              <w:rPr>
                <w:rFonts w:ascii="仿宋" w:hAnsi="仿宋" w:eastAsia="仿宋" w:cs="仿宋"/>
                <w:color w:val="000000"/>
                <w:kern w:val="0"/>
                <w:sz w:val="24"/>
              </w:rPr>
            </w:pPr>
            <w:r>
              <w:rPr>
                <w:rFonts w:hint="eastAsia" w:ascii="仿宋" w:hAnsi="仿宋" w:eastAsia="仿宋" w:cs="仿宋"/>
                <w:color w:val="000000"/>
                <w:kern w:val="0"/>
                <w:sz w:val="24"/>
              </w:rPr>
              <w:t>10</w:t>
            </w:r>
          </w:p>
        </w:tc>
        <w:tc>
          <w:tcPr>
            <w:tcW w:w="1199" w:type="dxa"/>
            <w:vMerge w:val="restart"/>
            <w:tcBorders>
              <w:top w:val="nil"/>
              <w:left w:val="single" w:color="auto" w:sz="4" w:space="0"/>
              <w:bottom w:val="single" w:color="000000" w:sz="4" w:space="0"/>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菠萝</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已挂果</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4元/棵</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成片种植每亩最高补偿4000 </w:t>
            </w:r>
          </w:p>
        </w:tc>
      </w:tr>
      <w:tr>
        <w:tblPrEx>
          <w:tblCellMar>
            <w:top w:w="0" w:type="dxa"/>
            <w:left w:w="108" w:type="dxa"/>
            <w:bottom w:w="0" w:type="dxa"/>
            <w:right w:w="108" w:type="dxa"/>
          </w:tblCellMar>
        </w:tblPrEx>
        <w:trPr>
          <w:trHeight w:val="285" w:hRule="atLeast"/>
          <w:jc w:val="center"/>
        </w:trPr>
        <w:tc>
          <w:tcPr>
            <w:tcW w:w="582" w:type="dxa"/>
            <w:vMerge w:val="continue"/>
            <w:tcBorders>
              <w:top w:val="nil"/>
              <w:left w:val="single" w:color="auto" w:sz="4" w:space="0"/>
              <w:bottom w:val="single" w:color="000000"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000000"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未挂果</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2元/棵</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成片种植每亩最高补偿2000 </w:t>
            </w:r>
          </w:p>
        </w:tc>
      </w:tr>
      <w:tr>
        <w:tblPrEx>
          <w:tblCellMar>
            <w:top w:w="0" w:type="dxa"/>
            <w:left w:w="108" w:type="dxa"/>
            <w:bottom w:w="0" w:type="dxa"/>
            <w:right w:w="108" w:type="dxa"/>
          </w:tblCellMar>
        </w:tblPrEx>
        <w:trPr>
          <w:trHeight w:val="360" w:hRule="atLeast"/>
          <w:jc w:val="center"/>
        </w:trPr>
        <w:tc>
          <w:tcPr>
            <w:tcW w:w="582" w:type="dxa"/>
            <w:vMerge w:val="restart"/>
            <w:tcBorders>
              <w:top w:val="nil"/>
              <w:left w:val="single" w:color="auto" w:sz="4" w:space="0"/>
              <w:bottom w:val="single" w:color="auto" w:sz="4" w:space="0"/>
              <w:right w:val="single" w:color="auto" w:sz="4" w:space="0"/>
            </w:tcBorders>
            <w:noWrap w:val="0"/>
            <w:vAlign w:val="center"/>
          </w:tcPr>
          <w:p>
            <w:pPr>
              <w:widowControl/>
              <w:spacing w:line="460" w:lineRule="exact"/>
              <w:jc w:val="center"/>
              <w:rPr>
                <w:rFonts w:ascii="仿宋" w:hAnsi="仿宋" w:eastAsia="仿宋" w:cs="仿宋"/>
                <w:color w:val="000000"/>
                <w:kern w:val="0"/>
                <w:sz w:val="24"/>
              </w:rPr>
            </w:pPr>
            <w:r>
              <w:rPr>
                <w:rFonts w:hint="eastAsia" w:ascii="仿宋" w:hAnsi="仿宋" w:eastAsia="仿宋" w:cs="仿宋"/>
                <w:color w:val="000000"/>
                <w:kern w:val="0"/>
                <w:sz w:val="24"/>
              </w:rPr>
              <w:t>11</w:t>
            </w:r>
          </w:p>
        </w:tc>
        <w:tc>
          <w:tcPr>
            <w:tcW w:w="1199"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其他零星  果苗     </w:t>
            </w:r>
            <w:r>
              <w:rPr>
                <w:rFonts w:hint="eastAsia" w:ascii="仿宋" w:hAnsi="仿宋" w:eastAsia="仿宋" w:cs="仿宋"/>
                <w:color w:val="000000"/>
                <w:kern w:val="0"/>
                <w:sz w:val="24"/>
                <w:highlight w:val="none"/>
              </w:rPr>
              <w:t>(</w:t>
            </w:r>
            <w:r>
              <w:rPr>
                <w:rFonts w:hint="eastAsia" w:ascii="仿宋" w:hAnsi="仿宋" w:eastAsia="仿宋" w:cs="仿宋"/>
                <w:color w:val="000000"/>
                <w:kern w:val="0"/>
                <w:sz w:val="24"/>
              </w:rPr>
              <w:t>灌木类</w:t>
            </w:r>
            <w:r>
              <w:rPr>
                <w:rFonts w:hint="eastAsia" w:ascii="仿宋" w:hAnsi="仿宋" w:eastAsia="仿宋" w:cs="仿宋"/>
                <w:color w:val="000000"/>
                <w:kern w:val="0"/>
                <w:sz w:val="24"/>
                <w:highlight w:val="none"/>
              </w:rPr>
              <w:t>)</w:t>
            </w:r>
            <w:r>
              <w:rPr>
                <w:rFonts w:hint="eastAsia" w:ascii="仿宋" w:hAnsi="仿宋" w:eastAsia="仿宋" w:cs="仿宋"/>
                <w:color w:val="000000"/>
                <w:kern w:val="0"/>
                <w:sz w:val="24"/>
              </w:rPr>
              <w:t xml:space="preserve">   </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大苗（人工种植，树高0.5m以上）</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7</w:t>
            </w:r>
          </w:p>
        </w:tc>
        <w:tc>
          <w:tcPr>
            <w:tcW w:w="3700"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按时清点。</w:t>
            </w:r>
          </w:p>
        </w:tc>
      </w:tr>
      <w:tr>
        <w:tblPrEx>
          <w:tblCellMar>
            <w:top w:w="0" w:type="dxa"/>
            <w:left w:w="108" w:type="dxa"/>
            <w:bottom w:w="0" w:type="dxa"/>
            <w:right w:w="108" w:type="dxa"/>
          </w:tblCellMar>
        </w:tblPrEx>
        <w:trPr>
          <w:trHeight w:val="570"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中苗（人工种植，树高0.3-0.5m以上）</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5</w:t>
            </w:r>
          </w:p>
        </w:tc>
        <w:tc>
          <w:tcPr>
            <w:tcW w:w="3700"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仿宋" w:hAnsi="仿宋" w:eastAsia="仿宋" w:cs="仿宋"/>
                <w:color w:val="000000"/>
                <w:kern w:val="0"/>
                <w:sz w:val="24"/>
              </w:rPr>
            </w:pPr>
          </w:p>
        </w:tc>
      </w:tr>
      <w:tr>
        <w:tblPrEx>
          <w:tblCellMar>
            <w:top w:w="0" w:type="dxa"/>
            <w:left w:w="108" w:type="dxa"/>
            <w:bottom w:w="0" w:type="dxa"/>
            <w:right w:w="108" w:type="dxa"/>
          </w:tblCellMar>
        </w:tblPrEx>
        <w:trPr>
          <w:trHeight w:val="285"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小苗（树高0.3m以下）</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2</w:t>
            </w:r>
          </w:p>
        </w:tc>
        <w:tc>
          <w:tcPr>
            <w:tcW w:w="3700"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仿宋" w:hAnsi="仿宋" w:eastAsia="仿宋" w:cs="仿宋"/>
                <w:color w:val="000000"/>
                <w:kern w:val="0"/>
                <w:sz w:val="24"/>
              </w:rPr>
            </w:pPr>
          </w:p>
        </w:tc>
      </w:tr>
      <w:tr>
        <w:tblPrEx>
          <w:tblCellMar>
            <w:top w:w="0" w:type="dxa"/>
            <w:left w:w="108" w:type="dxa"/>
            <w:bottom w:w="0" w:type="dxa"/>
            <w:right w:w="108" w:type="dxa"/>
          </w:tblCellMar>
        </w:tblPrEx>
        <w:trPr>
          <w:trHeight w:val="570" w:hRule="atLeast"/>
          <w:jc w:val="center"/>
        </w:trPr>
        <w:tc>
          <w:tcPr>
            <w:tcW w:w="582" w:type="dxa"/>
            <w:vMerge w:val="restart"/>
            <w:tcBorders>
              <w:top w:val="nil"/>
              <w:left w:val="single" w:color="auto" w:sz="4" w:space="0"/>
              <w:bottom w:val="nil"/>
              <w:right w:val="single" w:color="auto" w:sz="4" w:space="0"/>
            </w:tcBorders>
            <w:noWrap w:val="0"/>
            <w:vAlign w:val="center"/>
          </w:tcPr>
          <w:p>
            <w:pPr>
              <w:widowControl/>
              <w:spacing w:line="460" w:lineRule="exact"/>
              <w:jc w:val="center"/>
              <w:rPr>
                <w:rFonts w:ascii="仿宋" w:hAnsi="仿宋" w:eastAsia="仿宋" w:cs="仿宋"/>
                <w:color w:val="000000"/>
                <w:kern w:val="0"/>
                <w:sz w:val="24"/>
              </w:rPr>
            </w:pPr>
            <w:r>
              <w:rPr>
                <w:rFonts w:hint="eastAsia" w:ascii="仿宋" w:hAnsi="仿宋" w:eastAsia="仿宋" w:cs="仿宋"/>
                <w:color w:val="000000"/>
                <w:kern w:val="0"/>
                <w:sz w:val="24"/>
              </w:rPr>
              <w:t>12</w:t>
            </w:r>
          </w:p>
        </w:tc>
        <w:tc>
          <w:tcPr>
            <w:tcW w:w="1199" w:type="dxa"/>
            <w:tcBorders>
              <w:top w:val="nil"/>
              <w:left w:val="nil"/>
              <w:bottom w:val="single" w:color="auto" w:sz="4" w:space="0"/>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麻竹、毛</w:t>
            </w:r>
            <w:r>
              <w:rPr>
                <w:rFonts w:hint="eastAsia" w:ascii="仿宋" w:hAnsi="仿宋" w:eastAsia="仿宋" w:cs="仿宋"/>
                <w:color w:val="000000"/>
                <w:kern w:val="0"/>
                <w:sz w:val="24"/>
                <w:highlight w:val="none"/>
              </w:rPr>
              <w:t>(</w:t>
            </w:r>
            <w:r>
              <w:rPr>
                <w:rFonts w:hint="eastAsia" w:ascii="仿宋" w:hAnsi="仿宋" w:eastAsia="仿宋" w:cs="仿宋"/>
                <w:color w:val="000000"/>
                <w:kern w:val="0"/>
                <w:sz w:val="24"/>
              </w:rPr>
              <w:t>苗</w:t>
            </w:r>
            <w:r>
              <w:rPr>
                <w:rFonts w:hint="eastAsia" w:ascii="仿宋" w:hAnsi="仿宋" w:eastAsia="仿宋" w:cs="仿宋"/>
                <w:color w:val="000000"/>
                <w:kern w:val="0"/>
                <w:sz w:val="24"/>
                <w:highlight w:val="none"/>
              </w:rPr>
              <w:t>)</w:t>
            </w:r>
            <w:r>
              <w:rPr>
                <w:rFonts w:hint="eastAsia" w:ascii="仿宋" w:hAnsi="仿宋" w:eastAsia="仿宋" w:cs="仿宋"/>
                <w:color w:val="000000"/>
                <w:kern w:val="0"/>
                <w:sz w:val="24"/>
              </w:rPr>
              <w:t>竹</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成竹，竹高4m以上</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2</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成片竹子每亩最高补偿5000元</w:t>
            </w:r>
          </w:p>
        </w:tc>
      </w:tr>
      <w:tr>
        <w:tblPrEx>
          <w:tblCellMar>
            <w:top w:w="0" w:type="dxa"/>
            <w:left w:w="108" w:type="dxa"/>
            <w:bottom w:w="0" w:type="dxa"/>
            <w:right w:w="108" w:type="dxa"/>
          </w:tblCellMar>
        </w:tblPrEx>
        <w:trPr>
          <w:trHeight w:val="570" w:hRule="atLeast"/>
          <w:jc w:val="center"/>
        </w:trPr>
        <w:tc>
          <w:tcPr>
            <w:tcW w:w="582" w:type="dxa"/>
            <w:vMerge w:val="continue"/>
            <w:tcBorders>
              <w:top w:val="nil"/>
              <w:left w:val="single" w:color="auto" w:sz="4" w:space="0"/>
              <w:bottom w:val="nil"/>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tcBorders>
              <w:top w:val="nil"/>
              <w:left w:val="nil"/>
              <w:bottom w:val="single" w:color="auto" w:sz="4" w:space="0"/>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黄竹、泥竹、丹竹</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成竹，竹高4m以上</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1</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成片竹子每亩最高补偿2500元</w:t>
            </w:r>
          </w:p>
        </w:tc>
      </w:tr>
      <w:tr>
        <w:tblPrEx>
          <w:tblCellMar>
            <w:top w:w="0" w:type="dxa"/>
            <w:left w:w="108" w:type="dxa"/>
            <w:bottom w:w="0" w:type="dxa"/>
            <w:right w:w="108" w:type="dxa"/>
          </w:tblCellMar>
        </w:tblPrEx>
        <w:trPr>
          <w:trHeight w:val="390" w:hRule="atLeast"/>
          <w:jc w:val="center"/>
        </w:trPr>
        <w:tc>
          <w:tcPr>
            <w:tcW w:w="582" w:type="dxa"/>
            <w:tcBorders>
              <w:top w:val="single" w:color="auto" w:sz="4" w:space="0"/>
              <w:left w:val="single" w:color="auto" w:sz="4" w:space="0"/>
              <w:bottom w:val="single" w:color="auto" w:sz="4" w:space="0"/>
              <w:right w:val="single" w:color="auto" w:sz="4" w:space="0"/>
            </w:tcBorders>
            <w:noWrap w:val="0"/>
            <w:vAlign w:val="center"/>
          </w:tcPr>
          <w:p>
            <w:pPr>
              <w:widowControl/>
              <w:spacing w:line="460" w:lineRule="exact"/>
              <w:jc w:val="center"/>
              <w:rPr>
                <w:rFonts w:ascii="仿宋" w:hAnsi="仿宋" w:eastAsia="仿宋" w:cs="仿宋"/>
                <w:color w:val="000000"/>
                <w:kern w:val="0"/>
                <w:sz w:val="24"/>
              </w:rPr>
            </w:pPr>
            <w:r>
              <w:rPr>
                <w:rFonts w:hint="eastAsia" w:ascii="仿宋" w:hAnsi="仿宋" w:eastAsia="仿宋" w:cs="仿宋"/>
                <w:color w:val="000000"/>
                <w:kern w:val="0"/>
                <w:sz w:val="24"/>
              </w:rPr>
              <w:t>13</w:t>
            </w:r>
          </w:p>
        </w:tc>
        <w:tc>
          <w:tcPr>
            <w:tcW w:w="1199" w:type="dxa"/>
            <w:tcBorders>
              <w:top w:val="nil"/>
              <w:left w:val="nil"/>
              <w:bottom w:val="single" w:color="auto" w:sz="4" w:space="0"/>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甘蔗</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生长期、收获期</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3000</w:t>
            </w:r>
          </w:p>
        </w:tc>
      </w:tr>
      <w:tr>
        <w:tblPrEx>
          <w:tblCellMar>
            <w:top w:w="0" w:type="dxa"/>
            <w:left w:w="108" w:type="dxa"/>
            <w:bottom w:w="0" w:type="dxa"/>
            <w:right w:w="108" w:type="dxa"/>
          </w:tblCellMar>
        </w:tblPrEx>
        <w:trPr>
          <w:trHeight w:val="405" w:hRule="atLeast"/>
          <w:jc w:val="center"/>
        </w:trPr>
        <w:tc>
          <w:tcPr>
            <w:tcW w:w="582" w:type="dxa"/>
            <w:vMerge w:val="restart"/>
            <w:tcBorders>
              <w:top w:val="nil"/>
              <w:left w:val="single" w:color="auto" w:sz="4" w:space="0"/>
              <w:bottom w:val="single" w:color="auto" w:sz="4" w:space="0"/>
              <w:right w:val="single" w:color="auto" w:sz="4" w:space="0"/>
            </w:tcBorders>
            <w:noWrap w:val="0"/>
            <w:vAlign w:val="center"/>
          </w:tcPr>
          <w:p>
            <w:pPr>
              <w:widowControl/>
              <w:spacing w:line="460" w:lineRule="exact"/>
              <w:jc w:val="center"/>
              <w:rPr>
                <w:rFonts w:ascii="仿宋" w:hAnsi="仿宋" w:eastAsia="仿宋" w:cs="仿宋"/>
                <w:color w:val="000000"/>
                <w:kern w:val="0"/>
                <w:sz w:val="24"/>
              </w:rPr>
            </w:pPr>
            <w:r>
              <w:rPr>
                <w:rFonts w:hint="eastAsia" w:ascii="仿宋" w:hAnsi="仿宋" w:eastAsia="仿宋" w:cs="仿宋"/>
                <w:color w:val="000000"/>
                <w:kern w:val="0"/>
                <w:sz w:val="24"/>
              </w:rPr>
              <w:t>14</w:t>
            </w:r>
          </w:p>
        </w:tc>
        <w:tc>
          <w:tcPr>
            <w:tcW w:w="1199"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大棚蔬菜</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播种期、生长期</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　</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3000</w:t>
            </w:r>
          </w:p>
        </w:tc>
      </w:tr>
      <w:tr>
        <w:tblPrEx>
          <w:tblCellMar>
            <w:top w:w="0" w:type="dxa"/>
            <w:left w:w="108" w:type="dxa"/>
            <w:bottom w:w="0" w:type="dxa"/>
            <w:right w:w="108" w:type="dxa"/>
          </w:tblCellMar>
        </w:tblPrEx>
        <w:trPr>
          <w:trHeight w:val="420"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收获期</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5000</w:t>
            </w:r>
          </w:p>
        </w:tc>
      </w:tr>
      <w:tr>
        <w:tblPrEx>
          <w:tblCellMar>
            <w:top w:w="0" w:type="dxa"/>
            <w:left w:w="108" w:type="dxa"/>
            <w:bottom w:w="0" w:type="dxa"/>
            <w:right w:w="108" w:type="dxa"/>
          </w:tblCellMar>
        </w:tblPrEx>
        <w:trPr>
          <w:trHeight w:val="564" w:hRule="atLeast"/>
          <w:jc w:val="center"/>
        </w:trPr>
        <w:tc>
          <w:tcPr>
            <w:tcW w:w="582" w:type="dxa"/>
            <w:vMerge w:val="restart"/>
            <w:tcBorders>
              <w:top w:val="nil"/>
              <w:left w:val="single" w:color="auto" w:sz="4" w:space="0"/>
              <w:bottom w:val="single" w:color="auto" w:sz="4" w:space="0"/>
              <w:right w:val="single" w:color="auto" w:sz="4" w:space="0"/>
            </w:tcBorders>
            <w:noWrap w:val="0"/>
            <w:vAlign w:val="center"/>
          </w:tcPr>
          <w:p>
            <w:pPr>
              <w:widowControl/>
              <w:spacing w:line="460" w:lineRule="exact"/>
              <w:jc w:val="center"/>
              <w:rPr>
                <w:rFonts w:ascii="仿宋" w:hAnsi="仿宋" w:eastAsia="仿宋" w:cs="仿宋"/>
                <w:color w:val="000000"/>
                <w:kern w:val="0"/>
                <w:sz w:val="24"/>
              </w:rPr>
            </w:pPr>
            <w:r>
              <w:rPr>
                <w:rFonts w:hint="eastAsia" w:ascii="仿宋" w:hAnsi="仿宋" w:eastAsia="仿宋" w:cs="仿宋"/>
                <w:color w:val="000000"/>
                <w:kern w:val="0"/>
                <w:sz w:val="24"/>
              </w:rPr>
              <w:t>15</w:t>
            </w:r>
          </w:p>
        </w:tc>
        <w:tc>
          <w:tcPr>
            <w:tcW w:w="1199" w:type="dxa"/>
            <w:vMerge w:val="restart"/>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ascii="仿宋" w:hAnsi="仿宋" w:eastAsia="仿宋" w:cs="仿宋"/>
                <w:color w:val="000000"/>
                <w:kern w:val="0"/>
                <w:sz w:val="24"/>
              </w:rPr>
            </w:pPr>
            <w:r>
              <w:rPr>
                <w:rFonts w:hint="eastAsia" w:ascii="仿宋" w:hAnsi="仿宋" w:eastAsia="仿宋" w:cs="仿宋"/>
                <w:color w:val="000000"/>
                <w:kern w:val="0"/>
                <w:sz w:val="24"/>
              </w:rPr>
              <w:t>大蕉、香蕉、粉蕉、木瓜</w:t>
            </w: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大（已挂果，树高大于1.5m）</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30</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成片种植每亩最多补偿120棵,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最高补偿3600 </w:t>
            </w:r>
          </w:p>
        </w:tc>
      </w:tr>
      <w:tr>
        <w:tblPrEx>
          <w:tblCellMar>
            <w:top w:w="0" w:type="dxa"/>
            <w:left w:w="108" w:type="dxa"/>
            <w:bottom w:w="0" w:type="dxa"/>
            <w:right w:w="108" w:type="dxa"/>
          </w:tblCellMar>
        </w:tblPrEx>
        <w:trPr>
          <w:trHeight w:val="780"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中（未挂果，树高大于1.5m）</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20</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成片种植每亩最多补偿120棵,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最高补偿2400 </w:t>
            </w:r>
          </w:p>
        </w:tc>
      </w:tr>
      <w:tr>
        <w:tblPrEx>
          <w:tblCellMar>
            <w:top w:w="0" w:type="dxa"/>
            <w:left w:w="108" w:type="dxa"/>
            <w:bottom w:w="0" w:type="dxa"/>
            <w:right w:w="108" w:type="dxa"/>
          </w:tblCellMar>
        </w:tblPrEx>
        <w:trPr>
          <w:trHeight w:val="90" w:hRule="atLeast"/>
          <w:jc w:val="center"/>
        </w:trPr>
        <w:tc>
          <w:tcPr>
            <w:tcW w:w="582"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1199" w:type="dxa"/>
            <w:vMerge w:val="continue"/>
            <w:tcBorders>
              <w:top w:val="nil"/>
              <w:left w:val="single" w:color="auto" w:sz="4" w:space="0"/>
              <w:bottom w:val="single" w:color="auto" w:sz="4" w:space="0"/>
              <w:right w:val="single" w:color="auto" w:sz="4" w:space="0"/>
            </w:tcBorders>
            <w:noWrap w:val="0"/>
            <w:vAlign w:val="center"/>
          </w:tcPr>
          <w:p>
            <w:pPr>
              <w:widowControl/>
              <w:spacing w:line="460" w:lineRule="exact"/>
              <w:jc w:val="left"/>
              <w:rPr>
                <w:rFonts w:ascii="仿宋" w:hAnsi="仿宋" w:eastAsia="仿宋" w:cs="仿宋"/>
                <w:color w:val="000000"/>
                <w:kern w:val="0"/>
                <w:sz w:val="24"/>
              </w:rPr>
            </w:pPr>
          </w:p>
        </w:tc>
        <w:tc>
          <w:tcPr>
            <w:tcW w:w="2643"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幼苗（树高小于1.5m）</w:t>
            </w:r>
          </w:p>
        </w:tc>
        <w:tc>
          <w:tcPr>
            <w:tcW w:w="1380" w:type="dxa"/>
            <w:tcBorders>
              <w:top w:val="nil"/>
              <w:left w:val="nil"/>
              <w:bottom w:val="single" w:color="auto" w:sz="4" w:space="0"/>
              <w:right w:val="single" w:color="auto" w:sz="4" w:space="0"/>
            </w:tcBorders>
            <w:noWrap w:val="0"/>
            <w:vAlign w:val="center"/>
          </w:tcPr>
          <w:p>
            <w:pPr>
              <w:widowControl/>
              <w:spacing w:line="340" w:lineRule="exact"/>
              <w:jc w:val="center"/>
              <w:rPr>
                <w:rFonts w:ascii="仿宋" w:hAnsi="仿宋" w:eastAsia="仿宋" w:cs="仿宋"/>
                <w:color w:val="000000"/>
                <w:kern w:val="0"/>
                <w:sz w:val="24"/>
              </w:rPr>
            </w:pPr>
            <w:r>
              <w:rPr>
                <w:rFonts w:hint="eastAsia" w:ascii="仿宋" w:hAnsi="仿宋" w:eastAsia="仿宋" w:cs="仿宋"/>
                <w:color w:val="000000"/>
                <w:kern w:val="0"/>
                <w:sz w:val="24"/>
              </w:rPr>
              <w:t>6</w:t>
            </w:r>
          </w:p>
        </w:tc>
        <w:tc>
          <w:tcPr>
            <w:tcW w:w="3700" w:type="dxa"/>
            <w:tcBorders>
              <w:top w:val="nil"/>
              <w:left w:val="nil"/>
              <w:bottom w:val="single" w:color="auto" w:sz="4" w:space="0"/>
              <w:right w:val="single" w:color="auto" w:sz="4" w:space="0"/>
            </w:tcBorders>
            <w:noWrap w:val="0"/>
            <w:vAlign w:val="center"/>
          </w:tcPr>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成片种植每亩最多补偿250棵,</w:t>
            </w:r>
          </w:p>
          <w:p>
            <w:pPr>
              <w:widowControl/>
              <w:spacing w:line="320" w:lineRule="exact"/>
              <w:jc w:val="center"/>
              <w:rPr>
                <w:rFonts w:ascii="仿宋" w:hAnsi="仿宋" w:eastAsia="仿宋" w:cs="仿宋"/>
                <w:color w:val="000000"/>
                <w:kern w:val="0"/>
                <w:sz w:val="24"/>
              </w:rPr>
            </w:pPr>
            <w:r>
              <w:rPr>
                <w:rFonts w:hint="eastAsia" w:ascii="仿宋" w:hAnsi="仿宋" w:eastAsia="仿宋" w:cs="仿宋"/>
                <w:color w:val="000000"/>
                <w:kern w:val="0"/>
                <w:sz w:val="24"/>
              </w:rPr>
              <w:t xml:space="preserve">最高补偿1500 </w:t>
            </w:r>
          </w:p>
        </w:tc>
      </w:tr>
    </w:tbl>
    <w:p>
      <w:pPr>
        <w:spacing w:line="280" w:lineRule="exact"/>
        <w:jc w:val="left"/>
        <w:rPr>
          <w:rFonts w:hint="eastAsia" w:ascii="仿宋" w:hAnsi="仿宋" w:eastAsia="仿宋" w:cs="仿宋"/>
          <w:color w:val="000000"/>
          <w:kern w:val="0"/>
          <w:sz w:val="28"/>
          <w:szCs w:val="28"/>
        </w:rPr>
      </w:pPr>
    </w:p>
    <w:p>
      <w:pPr>
        <w:spacing w:line="400" w:lineRule="exact"/>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备注说明：</w:t>
      </w:r>
    </w:p>
    <w:p>
      <w:pPr>
        <w:spacing w:line="400" w:lineRule="exact"/>
        <w:ind w:firstLine="560" w:firstLineChars="20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1.成片种植的果树竹木最高补偿标准为45000元/亩。</w:t>
      </w:r>
    </w:p>
    <w:p>
      <w:pPr>
        <w:spacing w:line="400" w:lineRule="exact"/>
        <w:ind w:firstLine="560" w:firstLineChars="20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2.树木的主杆直径，以离地面50㎝量算为准。</w:t>
      </w:r>
    </w:p>
    <w:p>
      <w:pPr>
        <w:spacing w:line="400" w:lineRule="exact"/>
        <w:ind w:firstLine="560" w:firstLineChars="20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3.成片种植的果木竹木青苗所列补偿是按科学测算的合理种植密度签订每亩最高补偿棵数，超出每亩最高补偿棵数的部分不予补偿，达不到每亩最高补偿棵数的按实际棵数予以补偿。</w:t>
      </w:r>
    </w:p>
    <w:p>
      <w:pPr>
        <w:spacing w:line="400" w:lineRule="exact"/>
        <w:ind w:firstLine="560" w:firstLineChars="20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4.未列入上述标准的果树竹木，参照相近似价值的果木种类标准进行补偿；对个别未列入上述标准的名贵林木或特殊林木，委托具备资质的中介机构评估后协商确定。</w:t>
      </w:r>
    </w:p>
    <w:p>
      <w:pPr>
        <w:spacing w:line="400" w:lineRule="exact"/>
        <w:ind w:firstLine="560" w:firstLineChars="20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5.除花木场、苗圃场外，其他零星移植果树按正常标准5折以下补偿搬迁损失费。</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6.被征收土地上的果树竹木等在规定期限种植人自行砍伐、搬迁的，果树竹木等材料归物主所有；逾期的，由征地单位按规定处理。</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color w:val="000000"/>
          <w:kern w:val="0"/>
          <w:sz w:val="28"/>
          <w:szCs w:val="28"/>
        </w:rPr>
      </w:pPr>
    </w:p>
    <w:p>
      <w:pPr>
        <w:spacing w:line="600" w:lineRule="exact"/>
        <w:jc w:val="left"/>
        <w:outlineLvl w:val="0"/>
        <w:rPr>
          <w:rFonts w:hint="eastAsia" w:ascii="黑体" w:hAnsi="黑体" w:eastAsia="黑体" w:cs="黑体"/>
          <w:sz w:val="32"/>
          <w:szCs w:val="32"/>
        </w:rPr>
      </w:pPr>
      <w:bookmarkStart w:id="24" w:name="_Toc1343"/>
      <w:r>
        <w:rPr>
          <w:rFonts w:hint="eastAsia" w:ascii="黑体" w:hAnsi="黑体" w:eastAsia="黑体" w:cs="黑体"/>
          <w:sz w:val="32"/>
          <w:szCs w:val="32"/>
        </w:rPr>
        <w:t>附件2</w:t>
      </w:r>
      <w:bookmarkEnd w:id="24"/>
    </w:p>
    <w:p>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eastAsia="方正小标宋简体"/>
          <w:sz w:val="44"/>
          <w:szCs w:val="44"/>
        </w:rPr>
        <w:t>河源市</w:t>
      </w:r>
      <w:r>
        <w:rPr>
          <w:rFonts w:hint="eastAsia" w:ascii="方正小标宋简体" w:eastAsia="方正小标宋简体"/>
          <w:sz w:val="44"/>
          <w:szCs w:val="44"/>
          <w:lang w:val="en-US" w:eastAsia="zh-CN"/>
        </w:rPr>
        <w:t>G205国道东移项目江东新区（临江段）</w:t>
      </w:r>
      <w:r>
        <w:rPr>
          <w:rFonts w:hint="eastAsia" w:ascii="方正小标宋简体" w:hAnsi="方正小标宋简体" w:eastAsia="方正小标宋简体" w:cs="方正小标宋简体"/>
          <w:sz w:val="44"/>
          <w:szCs w:val="44"/>
        </w:rPr>
        <w:t>房屋征收补偿安置方案</w:t>
      </w:r>
    </w:p>
    <w:p>
      <w:pPr>
        <w:spacing w:line="600" w:lineRule="exact"/>
        <w:jc w:val="center"/>
        <w:rPr>
          <w:rFonts w:hint="eastAsia" w:ascii="方正小标宋简体" w:hAnsi="方正小标宋简体" w:eastAsia="方正小标宋简体" w:cs="方正小标宋简体"/>
          <w:sz w:val="44"/>
          <w:szCs w:val="44"/>
        </w:rPr>
      </w:pP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为做好河源市</w:t>
      </w:r>
      <w:r>
        <w:rPr>
          <w:rFonts w:hint="eastAsia" w:ascii="仿宋_GB2312" w:hAnsi="仿宋_GB2312" w:eastAsia="仿宋_GB2312" w:cs="仿宋_GB2312"/>
          <w:color w:val="000000"/>
          <w:kern w:val="0"/>
          <w:sz w:val="32"/>
          <w:szCs w:val="32"/>
          <w:lang w:val="en-US" w:eastAsia="zh-CN"/>
        </w:rPr>
        <w:t>G205国道东移项目江东新区（临江段）</w:t>
      </w:r>
      <w:r>
        <w:rPr>
          <w:rFonts w:hint="eastAsia" w:ascii="仿宋_GB2312" w:hAnsi="仿宋_GB2312" w:eastAsia="仿宋_GB2312" w:cs="仿宋_GB2312"/>
          <w:sz w:val="32"/>
          <w:szCs w:val="32"/>
        </w:rPr>
        <w:t>房屋征收工作，根据《国有土地上房屋征收与补偿条例》（国务院令2011第590号）、《关于加强监督检查进一步规范征地拆迁行为的通知》（中纪办</w:t>
      </w:r>
      <w:r>
        <w:rPr>
          <w:rFonts w:hint="eastAsia" w:ascii="宋体" w:hAnsi="宋体" w:cs="仿宋_GB2312"/>
          <w:sz w:val="32"/>
          <w:szCs w:val="32"/>
        </w:rPr>
        <w:t>〔</w:t>
      </w:r>
      <w:r>
        <w:rPr>
          <w:rFonts w:hint="eastAsia" w:ascii="仿宋_GB2312" w:hAnsi="仿宋_GB2312" w:eastAsia="仿宋_GB2312" w:cs="仿宋_GB2312"/>
          <w:sz w:val="32"/>
          <w:szCs w:val="32"/>
        </w:rPr>
        <w:t>2011</w:t>
      </w:r>
      <w:r>
        <w:rPr>
          <w:rFonts w:hint="eastAsia" w:ascii="宋体" w:hAnsi="宋体" w:cs="仿宋_GB2312"/>
          <w:sz w:val="32"/>
          <w:szCs w:val="32"/>
        </w:rPr>
        <w:t>〕</w:t>
      </w:r>
      <w:r>
        <w:rPr>
          <w:rFonts w:hint="eastAsia" w:ascii="仿宋_GB2312" w:hAnsi="仿宋_GB2312" w:eastAsia="仿宋_GB2312" w:cs="仿宋_GB2312"/>
          <w:sz w:val="32"/>
          <w:szCs w:val="32"/>
        </w:rPr>
        <w:t>8号）、</w:t>
      </w:r>
      <w:r>
        <w:rPr>
          <w:rFonts w:hint="eastAsia" w:ascii="仿宋_GB2312" w:eastAsia="仿宋_GB2312"/>
          <w:sz w:val="32"/>
          <w:szCs w:val="32"/>
        </w:rPr>
        <w:t>《河源市人民政府关于印发河源市城市规划区房屋征收与补偿实施办法的通知》（河府〔2017〕44号</w:t>
      </w:r>
      <w:r>
        <w:rPr>
          <w:rFonts w:hint="eastAsia" w:ascii="仿宋_GB2312" w:eastAsia="仿宋_GB2312"/>
          <w:sz w:val="32"/>
          <w:szCs w:val="32"/>
          <w:highlight w:val="none"/>
        </w:rPr>
        <w:t>)</w:t>
      </w:r>
      <w:r>
        <w:rPr>
          <w:rFonts w:hint="eastAsia" w:ascii="仿宋_GB2312" w:hAnsi="仿宋_GB2312" w:eastAsia="仿宋_GB2312" w:cs="仿宋_GB2312"/>
          <w:sz w:val="32"/>
          <w:szCs w:val="32"/>
        </w:rPr>
        <w:t>等法律法规的有关规定，结合新区实际，制定本方案。</w:t>
      </w:r>
    </w:p>
    <w:p>
      <w:pPr>
        <w:spacing w:line="600" w:lineRule="exact"/>
        <w:ind w:firstLine="537" w:firstLineChars="168"/>
        <w:outlineLvl w:val="0"/>
        <w:rPr>
          <w:rFonts w:hint="eastAsia" w:ascii="黑体" w:hAnsi="黑体" w:eastAsia="黑体" w:cs="黑体"/>
          <w:bCs/>
          <w:sz w:val="32"/>
          <w:szCs w:val="32"/>
        </w:rPr>
      </w:pPr>
      <w:r>
        <w:rPr>
          <w:rFonts w:hint="eastAsia" w:ascii="黑体" w:hAnsi="黑体" w:eastAsia="黑体" w:cs="黑体"/>
          <w:bCs/>
          <w:sz w:val="32"/>
          <w:szCs w:val="32"/>
        </w:rPr>
        <w:t xml:space="preserve"> </w:t>
      </w:r>
      <w:bookmarkStart w:id="25" w:name="_Toc21965"/>
      <w:r>
        <w:rPr>
          <w:rFonts w:hint="eastAsia" w:ascii="黑体" w:hAnsi="黑体" w:eastAsia="黑体" w:cs="黑体"/>
          <w:bCs/>
          <w:sz w:val="32"/>
          <w:szCs w:val="32"/>
        </w:rPr>
        <w:t>一、征收基本情况</w:t>
      </w:r>
      <w:bookmarkEnd w:id="25"/>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（一）征收范围：</w:t>
      </w:r>
    </w:p>
    <w:p>
      <w:pPr>
        <w:spacing w:line="600" w:lineRule="exact"/>
        <w:ind w:firstLine="640" w:firstLineChars="200"/>
        <w:rPr>
          <w:rFonts w:hint="eastAsia" w:ascii="仿宋_GB2312" w:eastAsia="仿宋_GB2312"/>
          <w:sz w:val="32"/>
          <w:szCs w:val="32"/>
        </w:rPr>
      </w:pPr>
      <w:r>
        <w:rPr>
          <w:rFonts w:hint="eastAsia" w:ascii="仿宋_GB2312" w:hAnsi="仿宋_GB2312" w:eastAsia="仿宋_GB2312" w:cs="仿宋_GB2312"/>
          <w:sz w:val="32"/>
          <w:szCs w:val="32"/>
        </w:rPr>
        <w:t>项目征收范围为</w:t>
      </w:r>
      <w:r>
        <w:rPr>
          <w:rFonts w:hint="eastAsia" w:ascii="仿宋_GB2312" w:eastAsia="仿宋_GB2312"/>
          <w:color w:val="000000" w:themeColor="text1"/>
          <w:sz w:val="32"/>
          <w:szCs w:val="32"/>
          <w:lang w:val="en-US" w:eastAsia="zh-CN"/>
          <w14:textFill>
            <w14:solidFill>
              <w14:schemeClr w14:val="tx1"/>
            </w14:solidFill>
          </w14:textFill>
        </w:rPr>
        <w:t>临江镇梧峰村、年丰村、澄岭村、联新村、禾坑村、桂林村</w:t>
      </w:r>
      <w:r>
        <w:rPr>
          <w:rFonts w:hint="eastAsia" w:ascii="仿宋_GB2312" w:eastAsia="仿宋_GB2312"/>
          <w:sz w:val="32"/>
          <w:szCs w:val="32"/>
        </w:rPr>
        <w:t>土地，总面积约</w:t>
      </w:r>
      <w:r>
        <w:rPr>
          <w:rFonts w:hint="eastAsia" w:ascii="仿宋_GB2312" w:eastAsia="仿宋_GB2312"/>
          <w:sz w:val="32"/>
          <w:szCs w:val="32"/>
          <w:lang w:val="en-US" w:eastAsia="zh-CN"/>
        </w:rPr>
        <w:t>1450.965亩</w:t>
      </w:r>
      <w:r>
        <w:rPr>
          <w:rFonts w:hint="eastAsia" w:ascii="仿宋_GB2312" w:eastAsia="仿宋_GB2312"/>
          <w:sz w:val="32"/>
          <w:szCs w:val="32"/>
        </w:rPr>
        <w:t>。具体以用地红线图为准</w:t>
      </w:r>
      <w:r>
        <w:rPr>
          <w:rFonts w:hint="eastAsia" w:ascii="仿宋_GB2312" w:eastAsia="仿宋_GB2312"/>
          <w:sz w:val="32"/>
          <w:szCs w:val="32"/>
          <w:highlight w:val="none"/>
        </w:rPr>
        <w:t>(</w:t>
      </w:r>
      <w:r>
        <w:rPr>
          <w:rFonts w:hint="eastAsia" w:ascii="仿宋_GB2312" w:eastAsia="仿宋_GB2312"/>
          <w:sz w:val="32"/>
          <w:szCs w:val="32"/>
        </w:rPr>
        <w:t>见附图</w:t>
      </w:r>
      <w:r>
        <w:rPr>
          <w:rFonts w:hint="eastAsia" w:ascii="仿宋_GB2312" w:eastAsia="仿宋_GB2312"/>
          <w:sz w:val="32"/>
          <w:szCs w:val="32"/>
          <w:highlight w:val="none"/>
        </w:rPr>
        <w:t>)</w:t>
      </w:r>
      <w:r>
        <w:rPr>
          <w:rFonts w:hint="eastAsia" w:ascii="仿宋_GB2312" w:eastAsia="仿宋_GB2312"/>
          <w:sz w:val="32"/>
          <w:szCs w:val="32"/>
        </w:rPr>
        <w:t>。</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（二）房屋征收部门：江东新区</w:t>
      </w:r>
      <w:r>
        <w:rPr>
          <w:rFonts w:hint="eastAsia" w:ascii="仿宋_GB2312" w:hAnsi="仿宋_GB2312" w:eastAsia="仿宋_GB2312" w:cs="仿宋_GB2312"/>
          <w:sz w:val="32"/>
          <w:szCs w:val="32"/>
          <w:lang w:val="en-US" w:eastAsia="zh-CN"/>
        </w:rPr>
        <w:t>管理委员会</w:t>
      </w:r>
      <w:r>
        <w:rPr>
          <w:rFonts w:hint="eastAsia" w:ascii="仿宋_GB2312" w:hAnsi="仿宋_GB2312" w:eastAsia="仿宋_GB2312" w:cs="仿宋_GB2312"/>
          <w:sz w:val="32"/>
          <w:szCs w:val="32"/>
        </w:rPr>
        <w:t>。</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（三）征收实施单位：临江镇人民政府。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（四）被征收人:征收范围内的房屋所有权人。</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（五）签订征收补偿协议期限：发布征收公告之日6个月内。</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（六）搬迁腾空房屋期限：签订协议之日起30天内。</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（七）评估时点：发布征收决定公告之日。</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（八）候选</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"http://fang.076299.com/search.php?searchword=%B7%BF%B5%D8%B2%FA&amp;searchmode=keywords" \t "_blank" </w:instrText>
      </w:r>
      <w:r>
        <w:rPr>
          <w:rFonts w:hint="eastAsia" w:ascii="仿宋_GB2312" w:hAnsi="仿宋_GB2312" w:eastAsia="仿宋_GB2312" w:cs="仿宋_GB2312"/>
          <w:sz w:val="32"/>
          <w:szCs w:val="32"/>
        </w:rPr>
        <w:fldChar w:fldCharType="separate"/>
      </w:r>
      <w:r>
        <w:rPr>
          <w:rStyle w:val="9"/>
          <w:rFonts w:hint="eastAsia" w:ascii="仿宋_GB2312" w:hAnsi="仿宋_GB2312" w:eastAsia="仿宋_GB2312" w:cs="仿宋_GB2312"/>
          <w:color w:val="auto"/>
          <w:sz w:val="32"/>
          <w:szCs w:val="32"/>
          <w:u w:val="none"/>
        </w:rPr>
        <w:t>房地产</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"http://fang.076299.com/search.php?searchword=%BC%DB%B8%F1&amp;searchmode=keywords" \t "_blank" </w:instrText>
      </w:r>
      <w:r>
        <w:rPr>
          <w:rFonts w:hint="eastAsia" w:ascii="仿宋_GB2312" w:hAnsi="仿宋_GB2312" w:eastAsia="仿宋_GB2312" w:cs="仿宋_GB2312"/>
          <w:sz w:val="32"/>
          <w:szCs w:val="32"/>
        </w:rPr>
        <w:fldChar w:fldCharType="separate"/>
      </w:r>
      <w:r>
        <w:rPr>
          <w:rStyle w:val="9"/>
          <w:rFonts w:hint="eastAsia" w:ascii="仿宋_GB2312" w:hAnsi="仿宋_GB2312" w:eastAsia="仿宋_GB2312" w:cs="仿宋_GB2312"/>
          <w:color w:val="auto"/>
          <w:sz w:val="32"/>
          <w:szCs w:val="32"/>
          <w:u w:val="none"/>
        </w:rPr>
        <w:t>价格</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评估机构</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以下简称评估机构</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val="en-US" w:eastAsia="zh-CN"/>
        </w:rPr>
        <w:t>市住房和城乡建设局公布的具有相应资质从事房屋征收评估的评估机构名单为准</w:t>
      </w:r>
      <w:r>
        <w:rPr>
          <w:rFonts w:hint="eastAsia" w:ascii="仿宋_GB2312" w:hAnsi="仿宋_GB2312" w:eastAsia="仿宋_GB2312" w:cs="仿宋_GB2312"/>
          <w:sz w:val="32"/>
          <w:szCs w:val="32"/>
        </w:rPr>
        <w:t>。</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1.河源市汇通土地与房地产评估事务所（普通合伙）</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2.广东致诚土地房地产资产评估与规划设计有限公司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3.河源市勤信土地与房地产评估有限公司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4.广东天宇公估土地房地产评估与规划有限公司河源分公司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5.深圳市同致诚土地房地产估价顾问有限公司河源分公司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6.河源诚至信房地产土地资产评估有限公司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7.河源市恒立信房地产评估有限公司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8.广东大川土地房地产资产评估有限公司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9.河源市德颐土地房地产评估有限公司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10.河源市鑫安房地产土地评估咨询有限公司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11.河源市正大资产土地房地产估价顾问有限公司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12.河源市久和土地房地产评估有限公司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13.河源新纪元房地产评估有限公司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14.深圳市国潼联土地房地产资产评估顾问有限公司河源分公司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15.深圳市国策房地产土地估价有限公司河源分公司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16.广东国众联行资产评估土地房地产估价规划咨询有限公司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17.广东正诚资产评估房地产土地估价有限公司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18.深圳市鹏信资产评估土地房地产估价有限公司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19.国众联资产评估土地房地产估价有限公司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20.广东嘉永房地产土地与资产评估咨询有限公司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21.广东公评房地产与土地估价有限公司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22.深圳市尊量行土地房地产估价有限公司</w:t>
      </w:r>
    </w:p>
    <w:p>
      <w:pPr>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23.广东信德资产评估与房地产土地估价有限公司</w:t>
      </w:r>
    </w:p>
    <w:p>
      <w:pPr>
        <w:spacing w:line="600" w:lineRule="exact"/>
        <w:ind w:firstLine="640" w:firstLineChars="200"/>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（九）征收范围内房屋的基本情况</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14:textFill>
            <w14:solidFill>
              <w14:schemeClr w14:val="tx1"/>
            </w14:solidFill>
          </w14:textFill>
        </w:rPr>
        <w:t>需</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征收土地</w:t>
      </w:r>
      <w:r>
        <w:rPr>
          <w:rFonts w:hint="eastAsia" w:ascii="仿宋_GB2312" w:eastAsia="仿宋_GB2312"/>
          <w:color w:val="000000" w:themeColor="text1"/>
          <w:sz w:val="32"/>
          <w:szCs w:val="32"/>
          <w:lang w:val="en-US" w:eastAsia="zh-CN"/>
          <w14:textFill>
            <w14:solidFill>
              <w14:schemeClr w14:val="tx1"/>
            </w14:solidFill>
          </w14:textFill>
        </w:rPr>
        <w:t>1450.965</w:t>
      </w:r>
      <w:r>
        <w:rPr>
          <w:rFonts w:hint="default" w:ascii="Times New Roman" w:hAnsi="Times New Roman" w:eastAsia="仿宋_GB2312" w:cs="Times New Roman"/>
          <w:color w:val="000000" w:themeColor="text1"/>
          <w:kern w:val="0"/>
          <w:sz w:val="32"/>
          <w:szCs w:val="32"/>
          <w14:textFill>
            <w14:solidFill>
              <w14:schemeClr w14:val="tx1"/>
            </w14:solidFill>
          </w14:textFill>
        </w:rPr>
        <w:t>亩</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14:textFill>
            <w14:solidFill>
              <w14:schemeClr w14:val="tx1"/>
            </w14:solidFill>
          </w14:textFill>
        </w:rPr>
        <w:t>房屋3</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14:textFill>
            <w14:solidFill>
              <w14:schemeClr w14:val="tx1"/>
            </w14:solidFill>
          </w14:textFill>
        </w:rPr>
        <w:t>76</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万</w:t>
      </w:r>
      <w:r>
        <w:rPr>
          <w:rFonts w:hint="default" w:ascii="Times New Roman" w:hAnsi="Times New Roman" w:eastAsia="仿宋_GB2312" w:cs="Times New Roman"/>
          <w:color w:val="000000" w:themeColor="text1"/>
          <w:kern w:val="0"/>
          <w:sz w:val="32"/>
          <w:szCs w:val="32"/>
          <w14:textFill>
            <w14:solidFill>
              <w14:schemeClr w14:val="tx1"/>
            </w14:solidFill>
          </w14:textFill>
        </w:rPr>
        <w:t>平方米</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14:textFill>
            <w14:solidFill>
              <w14:schemeClr w14:val="tx1"/>
            </w14:solidFill>
          </w14:textFill>
        </w:rPr>
        <w:t>生产性用房5</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500</w:t>
      </w:r>
      <w:r>
        <w:rPr>
          <w:rFonts w:hint="default" w:ascii="Times New Roman" w:hAnsi="Times New Roman" w:eastAsia="仿宋_GB2312" w:cs="Times New Roman"/>
          <w:color w:val="000000" w:themeColor="text1"/>
          <w:kern w:val="0"/>
          <w:sz w:val="32"/>
          <w:szCs w:val="32"/>
          <w14:textFill>
            <w14:solidFill>
              <w14:schemeClr w14:val="tx1"/>
            </w14:solidFill>
          </w14:textFill>
        </w:rPr>
        <w:t>平方米</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附属设施</w:t>
      </w:r>
      <w:r>
        <w:rPr>
          <w:rFonts w:hint="default" w:ascii="Times New Roman" w:hAnsi="Times New Roman" w:eastAsia="仿宋_GB2312" w:cs="Times New Roman"/>
          <w:color w:val="000000" w:themeColor="text1"/>
          <w:kern w:val="0"/>
          <w:sz w:val="32"/>
          <w:szCs w:val="32"/>
          <w14:textFill>
            <w14:solidFill>
              <w14:schemeClr w14:val="tx1"/>
            </w14:solidFill>
          </w14:textFill>
        </w:rPr>
        <w:t>1</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.6万</w:t>
      </w:r>
      <w:r>
        <w:rPr>
          <w:rFonts w:hint="default" w:ascii="Times New Roman" w:hAnsi="Times New Roman" w:eastAsia="仿宋_GB2312" w:cs="Times New Roman"/>
          <w:color w:val="000000" w:themeColor="text1"/>
          <w:kern w:val="0"/>
          <w:sz w:val="32"/>
          <w:szCs w:val="32"/>
          <w14:textFill>
            <w14:solidFill>
              <w14:schemeClr w14:val="tx1"/>
            </w14:solidFill>
          </w14:textFill>
        </w:rPr>
        <w:t>平方米</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w:t>
      </w:r>
    </w:p>
    <w:p>
      <w:pPr>
        <w:spacing w:line="600" w:lineRule="exact"/>
        <w:ind w:firstLine="640" w:firstLineChars="200"/>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pPr>
    </w:p>
    <w:p>
      <w:pPr>
        <w:spacing w:line="600" w:lineRule="exact"/>
        <w:ind w:firstLine="640" w:firstLineChars="200"/>
        <w:outlineLvl w:val="0"/>
        <w:rPr>
          <w:rFonts w:hint="eastAsia" w:ascii="黑体" w:hAnsi="黑体" w:eastAsia="黑体" w:cs="黑体"/>
          <w:sz w:val="32"/>
          <w:szCs w:val="32"/>
        </w:rPr>
      </w:pPr>
      <w:bookmarkStart w:id="26" w:name="_Toc22700"/>
      <w:r>
        <w:rPr>
          <w:rFonts w:hint="eastAsia" w:ascii="黑体" w:hAnsi="黑体" w:eastAsia="黑体" w:cs="黑体"/>
          <w:sz w:val="32"/>
          <w:szCs w:val="32"/>
        </w:rPr>
        <w:t>二、房屋征收补偿安置（包括构筑物）</w:t>
      </w:r>
      <w:bookmarkEnd w:id="26"/>
    </w:p>
    <w:p>
      <w:pPr>
        <w:spacing w:line="600" w:lineRule="exact"/>
        <w:ind w:firstLine="640" w:firstLineChars="200"/>
        <w:outlineLvl w:val="0"/>
        <w:rPr>
          <w:rFonts w:hint="default" w:ascii="黑体" w:hAnsi="黑体" w:eastAsia="黑体" w:cs="黑体"/>
          <w:sz w:val="32"/>
          <w:szCs w:val="32"/>
          <w:lang w:val="en-US" w:eastAsia="zh-CN"/>
        </w:rPr>
      </w:pPr>
      <w:bookmarkStart w:id="27" w:name="_Toc28136"/>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结合江东新区实际，为有效推进项目房屋征收工作，房屋征收补偿的原则、范围、标准，安置的原则、范围、标准、方式，建筑物的界定及家庭分户原则，临时过渡方式，停产停业损失，补助和奖励参照河源市高铁新城房屋征收补偿安置方案的方式及标准执行（见附件2-1、2-2）。</w:t>
      </w:r>
      <w:bookmarkEnd w:id="27"/>
    </w:p>
    <w:p>
      <w:pPr>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w:t>
      </w:r>
      <w:r>
        <w:rPr>
          <w:rFonts w:hint="eastAsia" w:ascii="楷体" w:hAnsi="楷体" w:eastAsia="楷体" w:cs="楷体"/>
          <w:sz w:val="32"/>
          <w:szCs w:val="32"/>
          <w:lang w:val="en-US" w:eastAsia="zh-CN"/>
        </w:rPr>
        <w:t>一</w:t>
      </w:r>
      <w:r>
        <w:rPr>
          <w:rFonts w:hint="eastAsia" w:ascii="楷体" w:hAnsi="楷体" w:eastAsia="楷体" w:cs="楷体"/>
          <w:sz w:val="32"/>
          <w:szCs w:val="32"/>
        </w:rPr>
        <w:t>）房屋征收实施步骤</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该项目</w:t>
      </w:r>
      <w:r>
        <w:rPr>
          <w:rFonts w:hint="eastAsia" w:ascii="仿宋_GB2312" w:hAnsi="仿宋_GB2312" w:eastAsia="仿宋_GB2312" w:cs="仿宋_GB2312"/>
          <w:sz w:val="32"/>
          <w:szCs w:val="32"/>
        </w:rPr>
        <w:t>按照以下程序开展土地房屋征收工作：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"http://fang.076299.com/search.php?searchword=%CF%D6%B3%A1&amp;searchmode=keywords" \t "_blank" </w:instrText>
      </w:r>
      <w:r>
        <w:rPr>
          <w:rFonts w:hint="eastAsia" w:ascii="仿宋_GB2312" w:hAnsi="仿宋_GB2312" w:eastAsia="仿宋_GB2312" w:cs="仿宋_GB2312"/>
          <w:sz w:val="32"/>
          <w:szCs w:val="32"/>
        </w:rPr>
        <w:fldChar w:fldCharType="separate"/>
      </w:r>
      <w:r>
        <w:rPr>
          <w:rStyle w:val="9"/>
          <w:rFonts w:hint="eastAsia" w:ascii="仿宋_GB2312" w:hAnsi="仿宋_GB2312" w:eastAsia="仿宋_GB2312" w:cs="仿宋_GB2312"/>
          <w:color w:val="auto"/>
          <w:sz w:val="32"/>
          <w:szCs w:val="32"/>
          <w:u w:val="none"/>
        </w:rPr>
        <w:t>现场</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公告</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（1）《河源市</w:t>
      </w:r>
      <w:r>
        <w:rPr>
          <w:rFonts w:hint="eastAsia" w:ascii="仿宋_GB2312" w:hAnsi="仿宋_GB2312" w:eastAsia="仿宋_GB2312" w:cs="仿宋_GB2312"/>
          <w:sz w:val="32"/>
          <w:szCs w:val="32"/>
          <w:lang w:val="en-US" w:eastAsia="zh-CN"/>
        </w:rPr>
        <w:t>G205国道东移项目江东新区（临江段）</w:t>
      </w:r>
      <w:r>
        <w:rPr>
          <w:rFonts w:hint="eastAsia" w:ascii="仿宋_GB2312" w:hAnsi="仿宋_GB2312" w:eastAsia="仿宋_GB2312" w:cs="仿宋_GB2312"/>
          <w:sz w:val="32"/>
          <w:szCs w:val="32"/>
        </w:rPr>
        <w:t>房屋征收决定公告》</w:t>
      </w:r>
      <w:r>
        <w:rPr>
          <w:rFonts w:hint="eastAsia" w:ascii="仿宋_GB2312" w:hAnsi="仿宋_GB2312" w:eastAsia="仿宋_GB2312" w:cs="仿宋_GB2312"/>
          <w:sz w:val="32"/>
          <w:szCs w:val="32"/>
          <w:highlight w:val="none"/>
        </w:rPr>
        <w:t>;</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（2）《河源市</w:t>
      </w:r>
      <w:r>
        <w:rPr>
          <w:rFonts w:hint="eastAsia" w:ascii="仿宋_GB2312" w:hAnsi="仿宋_GB2312" w:eastAsia="仿宋_GB2312" w:cs="仿宋_GB2312"/>
          <w:sz w:val="32"/>
          <w:szCs w:val="32"/>
          <w:lang w:val="en-US" w:eastAsia="zh-CN"/>
        </w:rPr>
        <w:t>G205国道东移项目江东新区（临江段）</w:t>
      </w:r>
      <w:r>
        <w:rPr>
          <w:rFonts w:hint="eastAsia" w:ascii="仿宋_GB2312" w:hAnsi="仿宋_GB2312" w:eastAsia="仿宋_GB2312" w:cs="仿宋_GB2312"/>
          <w:sz w:val="32"/>
          <w:szCs w:val="32"/>
        </w:rPr>
        <w:t>房屋征收补偿安置方案》</w:t>
      </w:r>
      <w:r>
        <w:rPr>
          <w:rFonts w:hint="eastAsia" w:ascii="仿宋_GB2312" w:hAnsi="仿宋_GB2312" w:eastAsia="仿宋_GB2312" w:cs="仿宋_GB2312"/>
          <w:sz w:val="32"/>
          <w:szCs w:val="32"/>
          <w:highlight w:val="none"/>
        </w:rPr>
        <w:t>;</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（3）国家、省、市房屋征收与补偿有关的法规、规章、规范性文件等</w:t>
      </w:r>
      <w:r>
        <w:rPr>
          <w:rFonts w:hint="eastAsia" w:ascii="仿宋_GB2312" w:hAnsi="仿宋_GB2312" w:eastAsia="仿宋_GB2312" w:cs="仿宋_GB2312"/>
          <w:sz w:val="32"/>
          <w:szCs w:val="32"/>
          <w:highlight w:val="none"/>
        </w:rPr>
        <w:t>;</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（4）征收实施单位名称、征收工作人员名单</w:t>
      </w:r>
      <w:r>
        <w:rPr>
          <w:rFonts w:hint="eastAsia" w:ascii="仿宋_GB2312" w:hAnsi="仿宋_GB2312" w:eastAsia="仿宋_GB2312" w:cs="仿宋_GB2312"/>
          <w:sz w:val="32"/>
          <w:szCs w:val="32"/>
          <w:highlight w:val="none"/>
        </w:rPr>
        <w:t>;</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（5）安置房规划选址及建筑设计图等。</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2.房屋征收实施单位应将《河源市</w:t>
      </w:r>
      <w:r>
        <w:rPr>
          <w:rFonts w:hint="eastAsia" w:ascii="仿宋_GB2312" w:hAnsi="仿宋_GB2312" w:eastAsia="仿宋_GB2312" w:cs="仿宋_GB2312"/>
          <w:sz w:val="32"/>
          <w:szCs w:val="32"/>
          <w:lang w:val="en-US" w:eastAsia="zh-CN"/>
        </w:rPr>
        <w:t>G205国道东移项目江东新区（临江段）</w:t>
      </w:r>
      <w:r>
        <w:rPr>
          <w:rFonts w:hint="eastAsia" w:ascii="仿宋_GB2312" w:hAnsi="仿宋_GB2312" w:eastAsia="仿宋_GB2312" w:cs="仿宋_GB2312"/>
          <w:sz w:val="32"/>
          <w:szCs w:val="32"/>
        </w:rPr>
        <w:t>土地房屋征收补偿方案》发放给被征收人。</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3.确定房地产评估机构。评估机构由被征收人协商选定</w:t>
      </w:r>
      <w:r>
        <w:rPr>
          <w:rFonts w:hint="eastAsia" w:ascii="仿宋_GB2312" w:hAnsi="仿宋_GB2312" w:eastAsia="仿宋_GB2312" w:cs="仿宋_GB2312"/>
          <w:sz w:val="32"/>
          <w:szCs w:val="32"/>
          <w:lang w:val="en-US" w:eastAsia="zh-CN"/>
        </w:rPr>
        <w:t>或是通过招投标形式进行确定</w:t>
      </w:r>
      <w:r>
        <w:rPr>
          <w:rFonts w:hint="eastAsia" w:ascii="仿宋_GB2312" w:hAnsi="仿宋_GB2312" w:eastAsia="仿宋_GB2312" w:cs="仿宋_GB2312"/>
          <w:sz w:val="32"/>
          <w:szCs w:val="32"/>
        </w:rPr>
        <w:t>。</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4.评估机构对被征收范围内房屋进行评估。被征收人应当协助注册房地产估价师对被征收房屋进行实地查勘，提供或者协助搜集被征收房屋价值评估所必需的情况和资料。</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5.公示初步评估结果。房屋征收实施单位应当将初步评估结果在征收范围内向被征收人公示。公示期间，评估机构应当安排注册房地产估价师对初步评估结果进行现场说明解释。</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征收人或者房屋征收部门对评估结果有异议的，应当自收到评估报告之日起10日内，向原房地产价格评估机构申请复核评估。申请复核评估的，应当向原房地产价格评估机构提出书面复核评估申请，并指出评估报告存在的问题。</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原房地产价格评估机构应当自收到书面复核评估申请之日起10日内对评估结果进行复核。复核后，改变原评估结果的，应当重新出具评估报告；评估结果没有改变的，应当书面告知复核评估申请人。</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被征收人或者房屋征收部门对原房地产价格评估机构的复核结果有异议的，应当自收到复核结果之日起10日内，向被征收房屋所在地房地产价格评估专家委员会申请鉴定。</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签约期限内，由征收实施单位与被征收人签订征收补偿协议。签订补偿协议时被征收人需带房屋所有权证、国有土地使用证、户口簿、身份证、营业执照、税务登记证等有效的原件和复印件，房屋征收实施单位应收回房屋所有权证、国有土地使用证等证件。</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7.签约期限届满，被征收人未能达成补偿协议的，由房屋征收部门按照房屋征收补偿方案作出房屋征收补偿决定，并在房屋征收范围内予以公告。</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被征收人应当自觉履行房屋征收补偿决定，如不服该征收补偿决定，可以在房屋征收补偿决定作出之日起60日内依法申请行政复议，或者在6个月内向人民法院提起行政诉讼。</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被征收人在法定期限内既不申请行政复议又不提起行政诉讼的，在补偿决定规定的期限内又不搬迁的，由江东新区管委会申请属地所在人民法院强制执行。</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8.选择货币补偿的,在签订补偿协议并搬迁腾空完毕，经征收工作人员验收后领取补偿款，补偿工作结束。</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9.选择房屋产权调换的，在签订补偿协议并搬迁腾空完毕，经征收工作人员验收并算清安置房和被征收房屋差价款。待安置房交付时，征收实施单位与被征收人双方结清差价后，安置房交付，补偿工作结束。</w:t>
      </w:r>
    </w:p>
    <w:p>
      <w:pPr>
        <w:spacing w:line="600" w:lineRule="exact"/>
        <w:ind w:firstLine="640" w:firstLineChars="200"/>
        <w:rPr>
          <w:rFonts w:hint="eastAsia" w:ascii="仿宋_GB2312" w:hAnsi="宋体" w:eastAsia="仿宋_GB2312"/>
          <w:sz w:val="32"/>
          <w:szCs w:val="32"/>
        </w:rPr>
      </w:pPr>
      <w:r>
        <w:rPr>
          <w:rFonts w:hint="eastAsia" w:ascii="仿宋_GB2312" w:hAnsi="仿宋_GB2312" w:eastAsia="仿宋_GB2312" w:cs="仿宋_GB2312"/>
          <w:sz w:val="32"/>
          <w:szCs w:val="32"/>
        </w:rPr>
        <w:t>10.公布补偿结果。房屋征收部门应当建立房屋征收补偿档案，并将补偿情况在房屋征收范围内向被征收人公布。</w:t>
      </w:r>
    </w:p>
    <w:p>
      <w:pPr>
        <w:spacing w:line="600" w:lineRule="exact"/>
        <w:outlineLvl w:val="0"/>
        <w:rPr>
          <w:rFonts w:hint="eastAsia" w:ascii="黑体" w:hAnsi="黑体" w:eastAsia="黑体" w:cs="黑体"/>
          <w:sz w:val="32"/>
          <w:szCs w:val="32"/>
        </w:rPr>
      </w:pPr>
      <w:r>
        <w:rPr>
          <w:rFonts w:hint="eastAsia" w:ascii="黑体" w:hAnsi="黑体" w:eastAsia="黑体" w:cs="黑体"/>
          <w:sz w:val="32"/>
          <w:szCs w:val="32"/>
        </w:rPr>
        <w:t xml:space="preserve">    </w:t>
      </w:r>
      <w:bookmarkStart w:id="28" w:name="_Toc8795"/>
      <w:r>
        <w:rPr>
          <w:rFonts w:hint="eastAsia" w:ascii="黑体" w:hAnsi="黑体" w:eastAsia="黑体" w:cs="黑体"/>
          <w:sz w:val="32"/>
          <w:szCs w:val="32"/>
          <w:lang w:val="en-US" w:eastAsia="zh-CN"/>
        </w:rPr>
        <w:t>三</w:t>
      </w:r>
      <w:r>
        <w:rPr>
          <w:rFonts w:hint="eastAsia" w:ascii="黑体" w:hAnsi="黑体" w:eastAsia="黑体" w:cs="黑体"/>
          <w:sz w:val="32"/>
          <w:szCs w:val="32"/>
        </w:rPr>
        <w:t>、其他有关事项</w:t>
      </w:r>
      <w:bookmarkEnd w:id="28"/>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（一）被征收房屋的水、电、固定电话、有线电视、信息网、管道燃气等迁移、转户、销户手续，由被征收人自行到有关部门申请办理，并负责结清已使用的水、电、电话、电视、燃气等费用。</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（二）征收房屋涉及的中、小学生需要异地就学的，可以在现居住地学校就读</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需要过渡临时就学的，可以在临时居住地学校就读</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需要回迁就学的，可以在回迁居住地学校就读。学生居住地教育行政主管部门负责安排办理已在校学生的转学工作，所在学校不得收取择校费或者以非本学区学生为由拒绝学生入学和收取其他费用。</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（三）被征收房屋的注销登记：房屋征收实施单位应当在被征收房屋拆除后30日内，持房屋征收决定、补偿协议、房屋所有权证书、国有土地使用权证书到相关部门办理房屋所有权、土地使用权注销登记手续。</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（四）征收产权不明确的房屋，由房屋征收部门提出补偿安置方案，报市人民政府同意，并向公证机关办理证据保全后实施征收，待产权明确后再补偿给产权所有人。</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（五）本方案未列明事项按河源市土地房屋征收相关文件执行。</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outlineLvl w:val="0"/>
        <w:rPr>
          <w:rFonts w:hint="eastAsia" w:ascii="仿宋_GB2312" w:hAnsi="仿宋_GB2312" w:eastAsia="仿宋_GB2312" w:cs="仿宋_GB2312"/>
          <w:sz w:val="32"/>
          <w:szCs w:val="32"/>
        </w:rPr>
      </w:pPr>
      <w:bookmarkStart w:id="29" w:name="_Toc32631"/>
      <w:r>
        <w:rPr>
          <w:rFonts w:hint="eastAsia" w:ascii="仿宋_GB2312" w:hAnsi="仿宋_GB2312" w:eastAsia="仿宋_GB2312" w:cs="仿宋_GB2312"/>
          <w:sz w:val="32"/>
          <w:szCs w:val="32"/>
        </w:rPr>
        <w:t>附件2-1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河源市高铁新城房屋征收补偿安置</w:t>
      </w:r>
      <w:bookmarkEnd w:id="29"/>
      <w:r>
        <w:rPr>
          <w:rFonts w:hint="eastAsia" w:ascii="仿宋_GB2312" w:hAnsi="仿宋_GB2312" w:eastAsia="仿宋_GB2312" w:cs="仿宋_GB2312"/>
          <w:sz w:val="32"/>
          <w:szCs w:val="32"/>
          <w:lang w:val="en-US" w:eastAsia="zh-CN"/>
        </w:rPr>
        <w:t>标准及方式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附件2-</w:t>
      </w:r>
      <w:r>
        <w:rPr>
          <w:rFonts w:hint="eastAsia" w:ascii="仿宋_GB2312" w:hAnsi="仿宋_GB2312" w:eastAsia="仿宋_GB2312" w:cs="仿宋_GB2312"/>
          <w:kern w:val="2"/>
          <w:sz w:val="32"/>
          <w:szCs w:val="32"/>
          <w:lang w:val="en-US" w:eastAsia="zh-CN" w:bidi="ar-SA"/>
        </w:rPr>
        <w:t>2：河源市G205国道江东新区（临江段）征收补偿参考标准表</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_GB2312" w:hAnsi="仿宋_GB2312" w:eastAsia="仿宋_GB2312" w:cs="仿宋_GB2312"/>
          <w:kern w:val="2"/>
          <w:sz w:val="32"/>
          <w:szCs w:val="32"/>
          <w:lang w:val="en-US" w:eastAsia="zh-CN" w:bidi="ar-SA"/>
        </w:rPr>
      </w:pPr>
    </w:p>
    <w:p>
      <w:pPr>
        <w:spacing w:line="600" w:lineRule="exact"/>
        <w:ind w:firstLine="537" w:firstLineChars="168"/>
        <w:rPr>
          <w:rFonts w:hint="default" w:ascii="仿宋_GB2312" w:hAnsi="仿宋_GB2312" w:eastAsia="仿宋_GB2312" w:cs="仿宋_GB2312"/>
          <w:sz w:val="32"/>
          <w:szCs w:val="32"/>
          <w:lang w:val="en-US" w:eastAsia="zh-CN"/>
        </w:rPr>
      </w:pPr>
    </w:p>
    <w:p>
      <w:pPr>
        <w:pStyle w:val="5"/>
        <w:spacing w:before="0" w:beforeAutospacing="0" w:after="0" w:afterAutospacing="0"/>
        <w:ind w:firstLine="624" w:firstLineChars="195"/>
        <w:jc w:val="both"/>
        <w:rPr>
          <w:rFonts w:ascii="仿宋" w:hAnsi="仿宋" w:eastAsia="仿宋"/>
          <w:sz w:val="32"/>
          <w:szCs w:val="32"/>
        </w:rPr>
      </w:pPr>
    </w:p>
    <w:p>
      <w:pPr>
        <w:pStyle w:val="5"/>
        <w:spacing w:before="0" w:beforeAutospacing="0" w:after="0" w:afterAutospacing="0" w:line="600" w:lineRule="exact"/>
        <w:jc w:val="both"/>
        <w:rPr>
          <w:rFonts w:hint="eastAsia" w:ascii="仿宋" w:hAnsi="仿宋" w:eastAsia="仿宋"/>
          <w:sz w:val="32"/>
          <w:szCs w:val="32"/>
        </w:rPr>
      </w:pPr>
    </w:p>
    <w:p>
      <w:pPr>
        <w:pStyle w:val="5"/>
        <w:spacing w:before="0" w:beforeAutospacing="0" w:after="0" w:afterAutospacing="0" w:line="600" w:lineRule="exact"/>
        <w:jc w:val="both"/>
        <w:rPr>
          <w:rFonts w:hint="eastAsia" w:ascii="仿宋" w:hAnsi="仿宋" w:eastAsia="仿宋"/>
          <w:sz w:val="32"/>
          <w:szCs w:val="32"/>
        </w:rPr>
      </w:pPr>
    </w:p>
    <w:p>
      <w:pPr>
        <w:pStyle w:val="5"/>
        <w:spacing w:before="0" w:beforeAutospacing="0" w:after="0" w:afterAutospacing="0" w:line="600" w:lineRule="exact"/>
        <w:jc w:val="both"/>
        <w:rPr>
          <w:rFonts w:hint="eastAsia" w:ascii="仿宋" w:hAnsi="仿宋" w:eastAsia="仿宋"/>
          <w:sz w:val="32"/>
          <w:szCs w:val="32"/>
        </w:rPr>
      </w:pPr>
    </w:p>
    <w:p>
      <w:pPr>
        <w:pStyle w:val="5"/>
        <w:spacing w:before="0" w:beforeAutospacing="0" w:after="0" w:afterAutospacing="0" w:line="600" w:lineRule="exact"/>
        <w:jc w:val="both"/>
        <w:outlineLvl w:val="0"/>
        <w:rPr>
          <w:rFonts w:hint="eastAsia" w:ascii="黑体" w:hAnsi="黑体" w:eastAsia="黑体" w:cs="黑体"/>
          <w:sz w:val="32"/>
          <w:szCs w:val="32"/>
        </w:rPr>
      </w:pPr>
      <w:bookmarkStart w:id="30" w:name="_Toc13301"/>
    </w:p>
    <w:p>
      <w:pPr>
        <w:pStyle w:val="5"/>
        <w:spacing w:before="0" w:beforeAutospacing="0" w:after="0" w:afterAutospacing="0" w:line="600" w:lineRule="exact"/>
        <w:jc w:val="both"/>
        <w:outlineLvl w:val="0"/>
        <w:rPr>
          <w:rFonts w:hint="eastAsia" w:ascii="黑体" w:hAnsi="黑体" w:eastAsia="黑体" w:cs="黑体"/>
          <w:sz w:val="32"/>
          <w:szCs w:val="32"/>
        </w:rPr>
      </w:pPr>
    </w:p>
    <w:p>
      <w:pPr>
        <w:pStyle w:val="5"/>
        <w:spacing w:before="0" w:beforeAutospacing="0" w:after="0" w:afterAutospacing="0" w:line="600" w:lineRule="exact"/>
        <w:jc w:val="both"/>
        <w:outlineLvl w:val="0"/>
        <w:rPr>
          <w:rFonts w:hint="eastAsia" w:ascii="黑体" w:hAnsi="黑体" w:eastAsia="黑体" w:cs="黑体"/>
          <w:sz w:val="32"/>
          <w:szCs w:val="32"/>
        </w:rPr>
      </w:pPr>
    </w:p>
    <w:p>
      <w:pPr>
        <w:pStyle w:val="5"/>
        <w:spacing w:before="0" w:beforeAutospacing="0" w:after="0" w:afterAutospacing="0" w:line="600" w:lineRule="exact"/>
        <w:jc w:val="both"/>
        <w:outlineLvl w:val="0"/>
        <w:rPr>
          <w:rFonts w:hint="eastAsia" w:ascii="黑体" w:hAnsi="黑体" w:eastAsia="黑体" w:cs="黑体"/>
          <w:sz w:val="32"/>
          <w:szCs w:val="32"/>
        </w:rPr>
      </w:pPr>
    </w:p>
    <w:p>
      <w:pPr>
        <w:pStyle w:val="5"/>
        <w:spacing w:before="0" w:beforeAutospacing="0" w:after="0" w:afterAutospacing="0" w:line="600" w:lineRule="exact"/>
        <w:jc w:val="both"/>
        <w:outlineLvl w:val="0"/>
        <w:rPr>
          <w:rFonts w:hint="eastAsia" w:ascii="黑体" w:hAnsi="黑体" w:eastAsia="黑体" w:cs="黑体"/>
          <w:sz w:val="32"/>
          <w:szCs w:val="32"/>
        </w:rPr>
      </w:pPr>
    </w:p>
    <w:p>
      <w:pPr>
        <w:pStyle w:val="5"/>
        <w:spacing w:before="0" w:beforeAutospacing="0" w:after="0" w:afterAutospacing="0" w:line="600" w:lineRule="exact"/>
        <w:jc w:val="both"/>
        <w:outlineLvl w:val="0"/>
        <w:rPr>
          <w:rFonts w:hint="eastAsia" w:ascii="黑体" w:hAnsi="黑体" w:eastAsia="黑体" w:cs="黑体"/>
          <w:sz w:val="32"/>
          <w:szCs w:val="32"/>
        </w:rPr>
      </w:pPr>
    </w:p>
    <w:p>
      <w:pPr>
        <w:pStyle w:val="5"/>
        <w:spacing w:before="0" w:beforeAutospacing="0" w:after="0" w:afterAutospacing="0" w:line="600" w:lineRule="exact"/>
        <w:jc w:val="both"/>
        <w:outlineLvl w:val="0"/>
        <w:rPr>
          <w:rFonts w:hint="eastAsia" w:ascii="黑体" w:hAnsi="黑体" w:eastAsia="黑体" w:cs="黑体"/>
          <w:sz w:val="32"/>
          <w:szCs w:val="32"/>
        </w:rPr>
      </w:pPr>
    </w:p>
    <w:p>
      <w:pPr>
        <w:pStyle w:val="5"/>
        <w:spacing w:before="0" w:beforeAutospacing="0" w:after="0" w:afterAutospacing="0" w:line="600" w:lineRule="exact"/>
        <w:jc w:val="both"/>
        <w:outlineLvl w:val="0"/>
        <w:rPr>
          <w:rFonts w:hint="eastAsia" w:ascii="黑体" w:hAnsi="黑体" w:eastAsia="黑体" w:cs="黑体"/>
          <w:sz w:val="32"/>
          <w:szCs w:val="32"/>
        </w:rPr>
      </w:pPr>
    </w:p>
    <w:p>
      <w:pPr>
        <w:pStyle w:val="5"/>
        <w:spacing w:before="0" w:beforeAutospacing="0" w:after="0" w:afterAutospacing="0" w:line="600" w:lineRule="exact"/>
        <w:jc w:val="both"/>
        <w:outlineLvl w:val="0"/>
        <w:rPr>
          <w:rFonts w:hint="eastAsia" w:ascii="黑体" w:hAnsi="黑体" w:eastAsia="黑体" w:cs="黑体"/>
          <w:sz w:val="32"/>
          <w:szCs w:val="32"/>
        </w:rPr>
      </w:pPr>
    </w:p>
    <w:p>
      <w:pPr>
        <w:pStyle w:val="5"/>
        <w:spacing w:before="0" w:beforeAutospacing="0" w:after="0" w:afterAutospacing="0" w:line="600" w:lineRule="exact"/>
        <w:jc w:val="both"/>
        <w:outlineLvl w:val="0"/>
        <w:rPr>
          <w:rFonts w:hint="eastAsia" w:ascii="黑体" w:hAnsi="黑体" w:eastAsia="黑体" w:cs="黑体"/>
          <w:sz w:val="32"/>
          <w:szCs w:val="32"/>
        </w:rPr>
      </w:pPr>
    </w:p>
    <w:p>
      <w:pPr>
        <w:pStyle w:val="5"/>
        <w:spacing w:before="0" w:beforeAutospacing="0" w:after="0" w:afterAutospacing="0" w:line="600" w:lineRule="exact"/>
        <w:jc w:val="both"/>
        <w:outlineLvl w:val="0"/>
        <w:rPr>
          <w:rFonts w:hint="eastAsia" w:ascii="黑体" w:hAnsi="黑体" w:eastAsia="黑体" w:cs="黑体"/>
          <w:sz w:val="32"/>
          <w:szCs w:val="32"/>
        </w:rPr>
      </w:pP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附件2-1</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河源市高铁新城房屋征收补偿安置</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标准及方式</w:t>
      </w:r>
    </w:p>
    <w:p>
      <w:pPr>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、房屋征收补偿安置（包括构筑物）</w:t>
      </w:r>
    </w:p>
    <w:p>
      <w:pPr>
        <w:spacing w:line="600" w:lineRule="exact"/>
        <w:ind w:firstLine="640" w:firstLineChars="200"/>
        <w:rPr>
          <w:rFonts w:hint="eastAsia" w:ascii="仿宋_GB2312" w:hAnsi="仿宋_GB2312" w:eastAsia="仿宋_GB2312" w:cs="仿宋_GB2312"/>
          <w:b/>
          <w:bCs/>
          <w:sz w:val="32"/>
          <w:szCs w:val="32"/>
        </w:rPr>
      </w:pPr>
      <w:r>
        <w:rPr>
          <w:rFonts w:hint="eastAsia" w:ascii="楷体" w:hAnsi="楷体" w:eastAsia="楷体" w:cs="楷体"/>
          <w:sz w:val="32"/>
          <w:szCs w:val="32"/>
        </w:rPr>
        <w:t>（一）补偿原则与范围：</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1.对被征收人给予的补偿包括：（1）被征收房屋价值的补偿;（2）因征收房屋造成的搬迁、临时安置的补偿;（3）因征收房屋造成的停产停业损失的补偿。</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2.征收范围内建筑物类别的界定工作由</w:t>
      </w:r>
      <w:r>
        <w:rPr>
          <w:rFonts w:hint="eastAsia" w:ascii="仿宋_GB2312" w:hAnsi="仿宋_GB2312" w:eastAsia="仿宋_GB2312" w:cs="仿宋_GB2312"/>
          <w:spacing w:val="-6"/>
          <w:sz w:val="32"/>
          <w:szCs w:val="32"/>
        </w:rPr>
        <w:t>建筑物类别界定工作组负责。</w:t>
      </w:r>
      <w:r>
        <w:rPr>
          <w:rFonts w:hint="eastAsia" w:ascii="仿宋_GB2312" w:hAnsi="仿宋_GB2312" w:eastAsia="仿宋_GB2312" w:cs="仿宋_GB2312"/>
          <w:sz w:val="32"/>
          <w:szCs w:val="32"/>
        </w:rPr>
        <w:t>对认定为合法家庭住房、祖屋及老宅基地的，按照市场评估价给予补偿；对认定为农业生产设施及其他建筑的，给予建筑成本价补偿及地价补偿。</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3.对认定为违法违章建筑和超过批准期限的临时建筑，不予补偿。界定为违章建筑的原则是：凡是新区2014年5月20日成立以后未经审批又不符合农村住房政策的建筑界定为违章建筑。</w:t>
      </w:r>
    </w:p>
    <w:p>
      <w:pPr>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（二）征收补偿安置方式：</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被征收人对被征收的合法家庭住房及祖屋原则上选择产权调换（即上楼安置），也可以选择货币补偿，均应承诺放弃在原籍额外申请宅基地建房的权利。生产设施用房及其他建筑采取货币补偿方式。</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1.货币补偿：</w:t>
      </w:r>
      <w:r>
        <w:rPr>
          <w:rFonts w:hint="eastAsia" w:ascii="仿宋" w:hAnsi="仿宋" w:eastAsia="仿宋" w:cs="Arial"/>
          <w:sz w:val="32"/>
          <w:szCs w:val="32"/>
        </w:rPr>
        <w:t>被征收的合法家庭住房选择货币补偿安置的，依据《河源市人民政府关于印发河源市城市规划区房屋征收与补偿实施办法的通知》（河府﹝2017﹞44号）文件执行。</w:t>
      </w:r>
      <w:r>
        <w:rPr>
          <w:rFonts w:hint="eastAsia" w:ascii="仿宋_GB2312" w:hAnsi="仿宋_GB2312" w:eastAsia="仿宋_GB2312" w:cs="仿宋_GB2312"/>
          <w:sz w:val="32"/>
          <w:szCs w:val="32"/>
        </w:rPr>
        <w:t>被征收房屋的补偿金额由被征收人选定的候选房地产评估机构参照《国有土地上房屋征收评估办法》(建房〔2011〕77号)及河源市区房屋征收相关规定进行评估确定。</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2.产权调换：房屋征收实施单位应提供相应数量的产权调换房屋(以下简称安置房)供被征收人进行产权调换。</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（1）产权调换的原则与标准：</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单家独院的房屋按折算后的建筑面积进行调换单层砼结构以1:1.25的比例进行调换;砼结构2层以上的第一层按1:1.15的建筑面积进行调换，第二层以上按1:1.05的建筑面积进行调换;砖木、瓦结构的第一层按1:1.15的建筑面积进行调换，第二层以上按1:1的建筑面积进行调换。实行产权调换后的房屋建筑占地面积不另作补偿，附属设施实行货币补偿。</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征收房屋中的技术层(如夹层、阁楼等)如属于原建筑物整体结构和布局或者经报建批准，层高超过2.2米;楼底高度不少于2.4米(即自然层高不少于4.6米)的，可计算产权面积，按1∶1的比例调换产权面积;层高不足2.2米的，不作产权调换，只按市场评估价格给予货币补偿。</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砖木瓦房屋第二层其檐高不足2.2米，墙高2.2米以上的，可当一层作产权调换或作货币补偿;墙高不足2.2米又超过1.6米的，按50%折算建筑面积作产权调换或货币补偿，墙高1.6米以下的，只作货币补偿。</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框架、混凝土结构房标准檐高为3米，红砖、泥砖瓦标准檐高为2.8米，实行货币补偿的，每增减10厘米补偿标准也随之增减1%。阳台按1/2折算建筑面积，飘檐按水平投影的1/4折算建筑面积进行补偿。</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实行产权调换，安置房面积与折算后补偿面积按1∶1进行调换，每户超面积安置不得超过按比例调换面积的20%。安置房面积超过折算后补偿面积10平方米以内的，按成本价结算差价;超过10平方米的部分，按市场评估价结算。安置房面积不足折算后补偿面积的部分，按市场评估价补给被征收人。安置房面积每户最多不超过320平方米，折算面积超过部分按评估价给予补偿。</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安置房选择按先签订协议先选的原则。优先照顾年满60周岁以上孤寡老人及下肢严重残疾者选择最底层住宅楼房。房屋征收实施单位应将安置房的地点、面积、楼层、过渡期限以及安置方案、择房图表等张榜公布，接受被征收人咨询、监督。</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⑤安置房分户原则：本地村（居）民根据户口簿登记内容，子女年满18周岁的为一个自然户，夫妻不得另行分户。</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⑥安置房办证及费用由房屋征收实施单位负责。安置房交付之日起12个月内办理好房产登记手续。</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（2）安置房源</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①安置房源在不影响规划的前提下，原则上设在本村辖区内，具体位置以规划图为准。</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②交房标准(毛坯房)：</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1.楼地面：结构面层;</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2.墙面：水泥石灰砂浆找平;</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3.天花：水泥石灰砂浆找平;</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4.给水：总管接至户内;</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5.供电：总线接户内;</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6.排水：预留接口(厨房、卫生间、阳台);</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7.门窗：铝合金窗，不锈钢入户门(其它门不装)。</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房屋征收实施单位必须提供符合国家、省、市规定的质量安全标准及房屋建筑设计技术规范标准的安置房，另按每平方米280元标准补偿室内基础装修费。</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③安置房为中高层电梯房，住宅约分为80平方米/套、100平方米/套、120平方米/套和140平方米/套4种规格。本规格面积为建筑面积，套内面积以实际核算。</w:t>
      </w:r>
    </w:p>
    <w:p>
      <w:pPr>
        <w:spacing w:line="600" w:lineRule="exact"/>
        <w:ind w:firstLine="640" w:firstLineChars="200"/>
        <w:rPr>
          <w:rFonts w:hint="eastAsia" w:ascii="仿宋_GB2312" w:hAnsi="仿宋_GB2312" w:eastAsia="仿宋_GB2312" w:cs="仿宋_GB2312"/>
          <w:b/>
          <w:bCs/>
          <w:sz w:val="32"/>
          <w:szCs w:val="32"/>
        </w:rPr>
      </w:pPr>
      <w:r>
        <w:rPr>
          <w:rFonts w:hint="eastAsia" w:ascii="楷体" w:hAnsi="楷体" w:eastAsia="楷体" w:cs="楷体"/>
          <w:sz w:val="32"/>
          <w:szCs w:val="32"/>
        </w:rPr>
        <w:t>（三）临时过渡方式及其他补偿安置</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1.临时过渡方式一律采取发放临时安置补偿费，由被征收人自行解决过渡期住房问题。</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2.征收项目范围内的原有公共硬底化道路政府投入部分不予补偿。</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3.因征收房屋造成搬迁的，给予被征收人按房屋建筑面积一次性支付每平方米70元的搬迁费。</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4.被征收人选择货币补偿的，给予被征收人一次性支付3个月每人每月200元的临时安置补偿费。</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被征收人选择房屋产权调换，在过渡期限内，自行解决周转用房的，给予每人每月200元的临时安置补偿费(按常住人口为准)，直至安置房交付之日后三个月止。过渡期限是指从被征收房屋腾空之日起至安置房交付之日止。</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安置房为期房，过渡期限不得超过36个月。如过渡期限延长，对被征收人自行解决周转用房的，从逾期之日起付给被征收人的临时安置补偿费增加50%。</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6.对因征收房屋造成被征收人停产停业损失的补偿，由征收当事人根据房屋被征收前的效益、停产停业期限等因素协商确定。协商不成的，可以委托房地产价格评估机构评估确定。对评估结果有异议的，可以按照《河源市人民政府关于印发河源市城市规划区房屋征收与补偿实施办法的通知》（河府</w:t>
      </w:r>
      <w:r>
        <w:rPr>
          <w:rFonts w:hint="eastAsia" w:ascii="宋体" w:hAnsi="宋体" w:cs="宋体"/>
          <w:sz w:val="32"/>
          <w:szCs w:val="32"/>
        </w:rPr>
        <w:t>〔2017〕44号</w:t>
      </w:r>
      <w:r>
        <w:rPr>
          <w:rFonts w:hint="eastAsia" w:ascii="仿宋_GB2312" w:hAnsi="仿宋_GB2312" w:eastAsia="仿宋_GB2312" w:cs="仿宋_GB2312"/>
          <w:sz w:val="32"/>
          <w:szCs w:val="32"/>
        </w:rPr>
        <w:t>）第二十二条相关规定申请复核、鉴定。</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（1）房屋被征收前的效益。</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①被征收人能提供税务部门出具的税后利润凭证的，效益以房屋征收决定作出前1年内实际月平均税后利润为准。</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被征收人不能提供税务部门出具的税后利润凭证等证明（含完税凭证不能反映停产停业损失）或者无法核算税后利润的，效益按上年度本地区同行业平均税后利润额或者同类房屋市场租金计算。对于营业面积在100平方米（含本数）以内的小型商铺（不含农家乐、工厂、洗车场等），按照建筑物内营业面积（厨房、卫生间、仓库除外）以不超过每月每平方米200元给予补偿，具体标准根据项目的区位在补偿方案中确定。</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（2）停产停业期限。</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停产停业期限的确定，选择货币补偿的按6个月计算；选择产权调换的，停产停业期限自被征收人实际搬迁之日起至产权调换房屋通知交付之日止。</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给予停产停业损失补偿应当同时符合以下条件：①经自然资源、住建等部门认定为合法的建筑（认定为违法建筑和超过批准期限的临时建筑不予停产停业损失补偿）;②具有合法、有效的工商营业执照、税务登记证以及其它有关许可证件；③作出房屋征收决定前实际正在经营，因征收房屋造成了停产停业损失。</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7.经批准开办的养殖场及其它生产性用房按市场建筑成本实行货币补偿，造成停业停产损失的，按建筑面积每平方米100元的标准一次性补偿。</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无合法产权证明且经自然资源、住房城乡规划建设部门认定为“一户一宅”之外的房屋，在征收补偿方案确定的签约期限内达不成补偿协议的，由自然资源、住房城乡规划建设等职能部门以及地方人民政府按照《中华人民共和国土地管理法》《中华人民共和国城乡规划法》等相关规定依法处理。</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9.生产设施用房以及“一户一宅”之外的房屋（祖屋除外），如无法提供合法建房手续，必须在接到政府发出处理通知一个星期内与征收实施单位协商处理完毕，逾期不得享受一切奖励政策。</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 老宅基础按建筑成本只作货币补偿。</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被征收房屋的建筑面积和用途，以房屋所有权证书和房屋登记簿的记载为准。未记载用途的，由房产登记机构依据规划部门提供的合法有效文件进行确认。被征收人有证据证明房屋所有权证书和房屋登记簿记载的建筑面积有误的，应当在房屋征收决定公告发布之日起15日内向房屋征收部门提出申请，由房屋征收部门委托具有相应资质的房产测绘机构对房屋的实际合法建筑面积进行测量，并出具测量结果报告，房屋建筑面积以测量结果报告为准。</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12.征收设有抵押权、被查封及扣押的房屋，按照国家有关的法律、法规执行。</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被征收人的固定电话、有线电视、信息网、空调、太阳能设备等，按照价格主管部门规定的移动安装费用或者市场价格给予补偿;被征收人自费开户的管道燃气、自来水，按照价格主管部门规定的现行开户的费用给予补偿。</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14.签订补偿协议之日起15个工作日内支付50%补偿款，房屋搬迁腾空后5个工作日内再支付50%补偿款。已作补偿的建(构)筑物及附属物归政府所有，被征收人不得毁坏和自行拆除(房屋征收实施单位同意的除外)。</w:t>
      </w:r>
    </w:p>
    <w:p>
      <w:pPr>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（四）补助和奖励</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1.选择安置房顶层的，按安置房套内面积每平方米一次性给予200元奖励;选择安置房住宅第一、二、三、四层的，按安置房套内面积每平方米一次性分别给予300、200、100、50元奖励;</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2.在规定期限内签订协议并完成搬迁腾空，给予每户补助、奖励2-5万元(附属设施除外);</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3.选择货币补偿的，给予被征收人一次性3个月每人每月200元的安置补偿奖励；</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4.逾期不签订补偿协议，不予奖励。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二、建筑物的界定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仿宋_GB2312" w:hAnsi="仿宋_GB2312" w:eastAsia="仿宋_GB2312" w:cs="仿宋_GB2312"/>
          <w:sz w:val="32"/>
          <w:szCs w:val="32"/>
          <w:lang w:val="en-US" w:eastAsia="zh-CN"/>
        </w:rPr>
        <w:t>根据《中华人民共和国土地管理法》、《中华人民共和国城乡规划法》、国土资源部《关于加强农村宅基地管理的意见》等法律法规，参照河源市区建筑物类别界定工作现行《河源市区农村房屋征收建筑物类别界定工作指导意见》（河国土资发〔2014〕342号）的标准执行。</w:t>
      </w:r>
    </w:p>
    <w:p>
      <w:pPr>
        <w:pStyle w:val="5"/>
        <w:spacing w:before="0" w:beforeAutospacing="0" w:after="0" w:afterAutospacing="0" w:line="600" w:lineRule="exact"/>
        <w:jc w:val="both"/>
        <w:outlineLvl w:val="0"/>
        <w:rPr>
          <w:rFonts w:hint="eastAsia" w:ascii="黑体" w:hAnsi="黑体" w:eastAsia="黑体" w:cs="黑体"/>
          <w:sz w:val="32"/>
          <w:szCs w:val="32"/>
        </w:rPr>
      </w:pPr>
    </w:p>
    <w:p>
      <w:pPr>
        <w:pStyle w:val="5"/>
        <w:spacing w:before="0" w:beforeAutospacing="0" w:after="0" w:afterAutospacing="0" w:line="600" w:lineRule="exact"/>
        <w:jc w:val="both"/>
        <w:outlineLvl w:val="0"/>
        <w:rPr>
          <w:rFonts w:hint="eastAsia" w:ascii="黑体" w:hAnsi="黑体" w:eastAsia="黑体" w:cs="黑体"/>
          <w:sz w:val="32"/>
          <w:szCs w:val="32"/>
        </w:rPr>
      </w:pPr>
    </w:p>
    <w:p>
      <w:pPr>
        <w:pStyle w:val="5"/>
        <w:spacing w:before="0" w:beforeAutospacing="0" w:after="0" w:afterAutospacing="0" w:line="600" w:lineRule="exact"/>
        <w:jc w:val="both"/>
        <w:outlineLvl w:val="0"/>
        <w:rPr>
          <w:rFonts w:hint="eastAsia" w:ascii="黑体" w:hAnsi="黑体" w:eastAsia="黑体" w:cs="黑体"/>
          <w:sz w:val="32"/>
          <w:szCs w:val="32"/>
        </w:rPr>
      </w:pPr>
    </w:p>
    <w:p>
      <w:pPr>
        <w:pStyle w:val="5"/>
        <w:spacing w:before="0" w:beforeAutospacing="0" w:after="0" w:afterAutospacing="0" w:line="600" w:lineRule="exact"/>
        <w:jc w:val="both"/>
        <w:outlineLvl w:val="0"/>
        <w:rPr>
          <w:rFonts w:hint="eastAsia" w:ascii="黑体" w:hAnsi="黑体" w:eastAsia="黑体" w:cs="黑体"/>
          <w:sz w:val="32"/>
          <w:szCs w:val="32"/>
        </w:rPr>
      </w:pPr>
    </w:p>
    <w:p>
      <w:pPr>
        <w:pStyle w:val="5"/>
        <w:spacing w:before="0" w:beforeAutospacing="0" w:after="0" w:afterAutospacing="0" w:line="600" w:lineRule="exact"/>
        <w:jc w:val="both"/>
        <w:outlineLvl w:val="0"/>
        <w:rPr>
          <w:rFonts w:hint="eastAsia" w:ascii="黑体" w:hAnsi="黑体" w:eastAsia="黑体" w:cs="黑体"/>
          <w:sz w:val="32"/>
          <w:szCs w:val="32"/>
        </w:rPr>
      </w:pPr>
    </w:p>
    <w:p>
      <w:pPr>
        <w:pStyle w:val="5"/>
        <w:spacing w:before="0" w:beforeAutospacing="0" w:after="0" w:afterAutospacing="0" w:line="600" w:lineRule="exact"/>
        <w:jc w:val="both"/>
        <w:outlineLvl w:val="0"/>
        <w:rPr>
          <w:rFonts w:hint="eastAsia" w:ascii="黑体" w:hAnsi="黑体" w:eastAsia="黑体" w:cs="黑体"/>
          <w:sz w:val="32"/>
          <w:szCs w:val="32"/>
        </w:rPr>
      </w:pPr>
    </w:p>
    <w:p>
      <w:pPr>
        <w:pStyle w:val="5"/>
        <w:spacing w:before="0" w:beforeAutospacing="0" w:after="0" w:afterAutospacing="0" w:line="600" w:lineRule="exact"/>
        <w:jc w:val="both"/>
        <w:outlineLvl w:val="0"/>
        <w:rPr>
          <w:rFonts w:hint="default" w:ascii="黑体" w:hAnsi="黑体" w:eastAsia="黑体" w:cs="黑体"/>
          <w:sz w:val="32"/>
          <w:szCs w:val="32"/>
          <w:lang w:val="en-US" w:eastAsia="zh-CN"/>
        </w:rPr>
      </w:pPr>
      <w:r>
        <w:rPr>
          <w:rFonts w:hint="eastAsia" w:ascii="黑体" w:hAnsi="黑体" w:eastAsia="黑体" w:cs="黑体"/>
          <w:sz w:val="32"/>
          <w:szCs w:val="32"/>
        </w:rPr>
        <w:t>附件2-</w:t>
      </w:r>
      <w:r>
        <w:rPr>
          <w:rFonts w:hint="eastAsia" w:ascii="黑体" w:hAnsi="黑体" w:eastAsia="黑体" w:cs="黑体"/>
          <w:sz w:val="32"/>
          <w:szCs w:val="32"/>
          <w:lang w:val="en-US" w:eastAsia="zh-CN"/>
        </w:rPr>
        <w:t>-</w:t>
      </w:r>
      <w:bookmarkEnd w:id="30"/>
      <w:r>
        <w:rPr>
          <w:rFonts w:hint="eastAsia" w:ascii="黑体" w:hAnsi="黑体" w:eastAsia="黑体" w:cs="黑体"/>
          <w:sz w:val="32"/>
          <w:szCs w:val="32"/>
          <w:lang w:val="en-US" w:eastAsia="zh-CN"/>
        </w:rPr>
        <w:t>2</w:t>
      </w:r>
    </w:p>
    <w:p>
      <w:pPr>
        <w:pStyle w:val="5"/>
        <w:spacing w:before="0" w:beforeAutospacing="0" w:after="0" w:afterAutospacing="0" w:line="600" w:lineRule="exact"/>
        <w:jc w:val="both"/>
        <w:rPr>
          <w:rFonts w:hint="eastAsia" w:ascii="黑体" w:hAnsi="黑体" w:eastAsia="黑体" w:cs="黑体"/>
          <w:sz w:val="32"/>
          <w:szCs w:val="32"/>
        </w:rPr>
      </w:pPr>
    </w:p>
    <w:p>
      <w:pPr>
        <w:pStyle w:val="5"/>
        <w:spacing w:before="0" w:beforeAutospacing="0" w:after="0" w:afterAutospacing="0" w:line="600" w:lineRule="exact"/>
        <w:jc w:val="center"/>
        <w:outlineLvl w:val="0"/>
        <w:rPr>
          <w:rFonts w:ascii="方正小标宋简体" w:hAnsi="仿宋" w:eastAsia="方正小标宋简体"/>
          <w:sz w:val="44"/>
          <w:szCs w:val="44"/>
        </w:rPr>
      </w:pPr>
      <w:bookmarkStart w:id="31" w:name="_Toc16761"/>
      <w:r>
        <w:rPr>
          <w:rFonts w:hint="eastAsia" w:ascii="方正小标宋简体" w:eastAsia="方正小标宋简体"/>
          <w:sz w:val="44"/>
          <w:szCs w:val="44"/>
        </w:rPr>
        <w:t>河源市</w:t>
      </w:r>
      <w:r>
        <w:rPr>
          <w:rFonts w:hint="eastAsia" w:ascii="方正小标宋简体" w:eastAsia="方正小标宋简体"/>
          <w:sz w:val="44"/>
          <w:szCs w:val="44"/>
          <w:lang w:val="en-US" w:eastAsia="zh-CN"/>
        </w:rPr>
        <w:t>G205国道江东新区（临江段）</w:t>
      </w:r>
      <w:r>
        <w:rPr>
          <w:rFonts w:hint="eastAsia" w:ascii="方正小标宋简体" w:hAnsi="仿宋" w:eastAsia="方正小标宋简体"/>
          <w:sz w:val="44"/>
          <w:szCs w:val="44"/>
        </w:rPr>
        <w:t>征收补偿参考标准表</w:t>
      </w:r>
      <w:bookmarkEnd w:id="31"/>
    </w:p>
    <w:p>
      <w:pPr>
        <w:pStyle w:val="5"/>
        <w:spacing w:before="0" w:beforeAutospacing="0" w:after="0" w:afterAutospacing="0" w:line="600" w:lineRule="exact"/>
        <w:ind w:firstLine="640" w:firstLineChars="200"/>
        <w:rPr>
          <w:rFonts w:ascii="黑体" w:hAnsi="黑体" w:eastAsia="黑体"/>
          <w:sz w:val="32"/>
          <w:szCs w:val="32"/>
        </w:rPr>
      </w:pPr>
    </w:p>
    <w:p>
      <w:pPr>
        <w:pStyle w:val="5"/>
        <w:spacing w:before="0" w:beforeAutospacing="0" w:after="0" w:afterAutospacing="0" w:line="600" w:lineRule="exact"/>
        <w:ind w:firstLine="640" w:firstLineChars="200"/>
        <w:outlineLvl w:val="0"/>
        <w:rPr>
          <w:rFonts w:hint="eastAsia" w:ascii="黑体" w:hAnsi="黑体" w:eastAsia="黑体" w:cs="黑体"/>
          <w:sz w:val="32"/>
          <w:szCs w:val="32"/>
        </w:rPr>
      </w:pPr>
      <w:bookmarkStart w:id="32" w:name="_Toc11429"/>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一</w:t>
      </w:r>
      <w:r>
        <w:rPr>
          <w:rFonts w:hint="eastAsia" w:ascii="黑体" w:hAnsi="黑体" w:eastAsia="黑体" w:cs="黑体"/>
          <w:sz w:val="32"/>
          <w:szCs w:val="32"/>
          <w:lang w:eastAsia="zh-CN"/>
        </w:rPr>
        <w:t>）</w:t>
      </w:r>
      <w:r>
        <w:rPr>
          <w:rFonts w:hint="eastAsia" w:ascii="黑体" w:hAnsi="黑体" w:eastAsia="黑体" w:cs="黑体"/>
          <w:sz w:val="32"/>
          <w:szCs w:val="32"/>
        </w:rPr>
        <w:t>家庭住宅、祖屋及老宅基地，及具有合法手续的建筑物</w:t>
      </w:r>
      <w:bookmarkEnd w:id="32"/>
    </w:p>
    <w:p>
      <w:pPr>
        <w:pStyle w:val="5"/>
        <w:spacing w:before="0" w:beforeAutospacing="0" w:after="0" w:afterAutospacing="0" w:line="600" w:lineRule="exact"/>
        <w:ind w:firstLine="640" w:firstLineChars="200"/>
        <w:rPr>
          <w:rFonts w:ascii="仿宋" w:hAnsi="仿宋" w:eastAsia="仿宋"/>
          <w:sz w:val="32"/>
          <w:szCs w:val="32"/>
        </w:rPr>
      </w:pPr>
      <w:r>
        <w:rPr>
          <w:rFonts w:hint="eastAsia" w:ascii="仿宋" w:hAnsi="仿宋" w:eastAsia="仿宋"/>
          <w:sz w:val="32"/>
          <w:szCs w:val="32"/>
        </w:rPr>
        <w:t>估价对象市场价值单价评估表</w:t>
      </w:r>
    </w:p>
    <w:tbl>
      <w:tblPr>
        <w:tblStyle w:val="6"/>
        <w:tblW w:w="93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7"/>
        <w:gridCol w:w="3585"/>
        <w:gridCol w:w="159"/>
        <w:gridCol w:w="787"/>
        <w:gridCol w:w="1481"/>
        <w:gridCol w:w="2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dxa"/>
            <w:noWrap w:val="0"/>
            <w:vAlign w:val="center"/>
          </w:tcPr>
          <w:p>
            <w:pPr>
              <w:pStyle w:val="5"/>
              <w:spacing w:before="0" w:beforeAutospacing="0" w:after="0" w:afterAutospacing="0" w:line="300" w:lineRule="exact"/>
              <w:jc w:val="center"/>
              <w:rPr>
                <w:rFonts w:hint="eastAsia" w:ascii="黑体" w:hAnsi="黑体" w:eastAsia="黑体" w:cs="黑体"/>
                <w:bCs/>
                <w:sz w:val="28"/>
                <w:szCs w:val="28"/>
              </w:rPr>
            </w:pPr>
            <w:r>
              <w:rPr>
                <w:rFonts w:hint="eastAsia" w:ascii="黑体" w:hAnsi="黑体" w:eastAsia="黑体" w:cs="黑体"/>
                <w:bCs/>
                <w:sz w:val="28"/>
                <w:szCs w:val="28"/>
              </w:rPr>
              <w:t>序号</w:t>
            </w:r>
          </w:p>
        </w:tc>
        <w:tc>
          <w:tcPr>
            <w:tcW w:w="3585" w:type="dxa"/>
            <w:noWrap w:val="0"/>
            <w:vAlign w:val="center"/>
          </w:tcPr>
          <w:p>
            <w:pPr>
              <w:pStyle w:val="5"/>
              <w:spacing w:before="0" w:beforeAutospacing="0" w:after="0" w:afterAutospacing="0" w:line="300" w:lineRule="exact"/>
              <w:jc w:val="center"/>
              <w:rPr>
                <w:rFonts w:hint="eastAsia" w:ascii="黑体" w:hAnsi="黑体" w:eastAsia="黑体" w:cs="黑体"/>
                <w:bCs/>
                <w:sz w:val="28"/>
                <w:szCs w:val="28"/>
              </w:rPr>
            </w:pPr>
            <w:r>
              <w:rPr>
                <w:rFonts w:hint="eastAsia" w:ascii="黑体" w:hAnsi="黑体" w:eastAsia="黑体" w:cs="黑体"/>
                <w:bCs/>
                <w:sz w:val="28"/>
                <w:szCs w:val="28"/>
              </w:rPr>
              <w:t>项目名称（住宅房屋）</w:t>
            </w:r>
          </w:p>
        </w:tc>
        <w:tc>
          <w:tcPr>
            <w:tcW w:w="946" w:type="dxa"/>
            <w:gridSpan w:val="2"/>
            <w:noWrap w:val="0"/>
            <w:vAlign w:val="center"/>
          </w:tcPr>
          <w:p>
            <w:pPr>
              <w:pStyle w:val="5"/>
              <w:spacing w:before="0" w:beforeAutospacing="0" w:after="0" w:afterAutospacing="0" w:line="300" w:lineRule="exact"/>
              <w:jc w:val="center"/>
              <w:rPr>
                <w:rFonts w:hint="eastAsia" w:ascii="黑体" w:hAnsi="黑体" w:eastAsia="黑体" w:cs="黑体"/>
                <w:bCs/>
                <w:sz w:val="28"/>
                <w:szCs w:val="28"/>
              </w:rPr>
            </w:pPr>
            <w:r>
              <w:rPr>
                <w:rFonts w:hint="eastAsia" w:ascii="黑体" w:hAnsi="黑体" w:eastAsia="黑体" w:cs="黑体"/>
                <w:bCs/>
                <w:sz w:val="28"/>
                <w:szCs w:val="28"/>
              </w:rPr>
              <w:t>单位</w:t>
            </w:r>
          </w:p>
        </w:tc>
        <w:tc>
          <w:tcPr>
            <w:tcW w:w="1481" w:type="dxa"/>
            <w:noWrap w:val="0"/>
            <w:vAlign w:val="center"/>
          </w:tcPr>
          <w:p>
            <w:pPr>
              <w:pStyle w:val="5"/>
              <w:spacing w:before="0" w:beforeAutospacing="0" w:after="0" w:afterAutospacing="0" w:line="300" w:lineRule="exact"/>
              <w:jc w:val="center"/>
              <w:rPr>
                <w:rFonts w:hint="eastAsia" w:ascii="黑体" w:hAnsi="黑体" w:eastAsia="黑体" w:cs="黑体"/>
                <w:bCs/>
                <w:sz w:val="28"/>
                <w:szCs w:val="28"/>
              </w:rPr>
            </w:pPr>
            <w:r>
              <w:rPr>
                <w:rFonts w:hint="eastAsia" w:ascii="黑体" w:hAnsi="黑体" w:eastAsia="黑体" w:cs="黑体"/>
                <w:bCs/>
                <w:sz w:val="28"/>
                <w:szCs w:val="28"/>
              </w:rPr>
              <w:t>单价</w:t>
            </w:r>
          </w:p>
        </w:tc>
        <w:tc>
          <w:tcPr>
            <w:tcW w:w="2713" w:type="dxa"/>
            <w:noWrap w:val="0"/>
            <w:vAlign w:val="center"/>
          </w:tcPr>
          <w:p>
            <w:pPr>
              <w:pStyle w:val="5"/>
              <w:spacing w:before="0" w:beforeAutospacing="0" w:after="0" w:afterAutospacing="0" w:line="300" w:lineRule="exact"/>
              <w:jc w:val="center"/>
              <w:rPr>
                <w:rFonts w:hint="eastAsia" w:ascii="黑体" w:hAnsi="黑体" w:eastAsia="黑体" w:cs="黑体"/>
                <w:bCs/>
                <w:sz w:val="28"/>
                <w:szCs w:val="28"/>
              </w:rPr>
            </w:pPr>
            <w:r>
              <w:rPr>
                <w:rFonts w:hint="eastAsia" w:ascii="黑体" w:hAnsi="黑体" w:eastAsia="黑体" w:cs="黑体"/>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dxa"/>
            <w:noWrap w:val="0"/>
            <w:vAlign w:val="center"/>
          </w:tcPr>
          <w:p>
            <w:pPr>
              <w:pStyle w:val="5"/>
              <w:spacing w:before="0" w:beforeAutospacing="0" w:after="0" w:afterAutospacing="0" w:line="300" w:lineRule="exact"/>
              <w:jc w:val="center"/>
              <w:rPr>
                <w:rFonts w:hint="eastAsia" w:ascii="仿宋" w:hAnsi="仿宋" w:eastAsia="仿宋"/>
                <w:sz w:val="28"/>
                <w:szCs w:val="28"/>
              </w:rPr>
            </w:pPr>
            <w:r>
              <w:rPr>
                <w:rFonts w:hint="eastAsia" w:ascii="仿宋" w:hAnsi="仿宋" w:eastAsia="仿宋"/>
                <w:sz w:val="28"/>
                <w:szCs w:val="28"/>
              </w:rPr>
              <w:t>1</w:t>
            </w:r>
          </w:p>
        </w:tc>
        <w:tc>
          <w:tcPr>
            <w:tcW w:w="3585" w:type="dxa"/>
            <w:noWrap w:val="0"/>
            <w:vAlign w:val="center"/>
          </w:tcPr>
          <w:p>
            <w:pPr>
              <w:pStyle w:val="5"/>
              <w:spacing w:before="0" w:beforeAutospacing="0" w:after="0" w:afterAutospacing="0" w:line="300" w:lineRule="exact"/>
              <w:rPr>
                <w:rFonts w:ascii="仿宋" w:hAnsi="仿宋" w:eastAsia="仿宋"/>
                <w:b/>
                <w:sz w:val="28"/>
                <w:szCs w:val="28"/>
              </w:rPr>
            </w:pPr>
            <w:r>
              <w:rPr>
                <w:rFonts w:hint="eastAsia" w:ascii="仿宋" w:hAnsi="仿宋" w:eastAsia="仿宋"/>
                <w:b/>
                <w:sz w:val="28"/>
                <w:szCs w:val="28"/>
              </w:rPr>
              <w:t>单层框架结构住宅</w:t>
            </w:r>
          </w:p>
        </w:tc>
        <w:tc>
          <w:tcPr>
            <w:tcW w:w="946" w:type="dxa"/>
            <w:gridSpan w:val="2"/>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w:t>
            </w:r>
          </w:p>
        </w:tc>
        <w:tc>
          <w:tcPr>
            <w:tcW w:w="1481" w:type="dxa"/>
            <w:noWrap w:val="0"/>
            <w:vAlign w:val="center"/>
          </w:tcPr>
          <w:p>
            <w:pPr>
              <w:pStyle w:val="5"/>
              <w:spacing w:before="0" w:beforeAutospacing="0" w:after="0" w:afterAutospacing="0" w:line="300" w:lineRule="exact"/>
              <w:jc w:val="center"/>
              <w:rPr>
                <w:rFonts w:hint="eastAsia" w:ascii="仿宋" w:hAnsi="仿宋" w:eastAsia="仿宋"/>
                <w:sz w:val="28"/>
                <w:szCs w:val="28"/>
              </w:rPr>
            </w:pPr>
            <w:r>
              <w:rPr>
                <w:rFonts w:hint="eastAsia" w:ascii="仿宋" w:hAnsi="仿宋" w:eastAsia="仿宋"/>
                <w:sz w:val="28"/>
                <w:szCs w:val="28"/>
              </w:rPr>
              <w:t>3450</w:t>
            </w:r>
          </w:p>
        </w:tc>
        <w:tc>
          <w:tcPr>
            <w:tcW w:w="2713"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含地价、基础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dxa"/>
            <w:noWrap w:val="0"/>
            <w:vAlign w:val="center"/>
          </w:tcPr>
          <w:p>
            <w:pPr>
              <w:pStyle w:val="5"/>
              <w:spacing w:before="0" w:beforeAutospacing="0" w:after="0" w:afterAutospacing="0" w:line="300" w:lineRule="exact"/>
              <w:jc w:val="center"/>
              <w:rPr>
                <w:rFonts w:hint="eastAsia" w:ascii="仿宋" w:hAnsi="仿宋" w:eastAsia="仿宋"/>
                <w:sz w:val="28"/>
                <w:szCs w:val="28"/>
              </w:rPr>
            </w:pPr>
            <w:r>
              <w:rPr>
                <w:rFonts w:hint="eastAsia" w:ascii="仿宋" w:hAnsi="仿宋" w:eastAsia="仿宋"/>
                <w:sz w:val="28"/>
                <w:szCs w:val="28"/>
              </w:rPr>
              <w:t>2</w:t>
            </w:r>
          </w:p>
        </w:tc>
        <w:tc>
          <w:tcPr>
            <w:tcW w:w="8725" w:type="dxa"/>
            <w:gridSpan w:val="5"/>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b/>
                <w:sz w:val="28"/>
                <w:szCs w:val="28"/>
              </w:rPr>
              <w:t>二层（或以上）框架结构住宅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dxa"/>
            <w:noWrap w:val="0"/>
            <w:vAlign w:val="center"/>
          </w:tcPr>
          <w:p>
            <w:pPr>
              <w:pStyle w:val="5"/>
              <w:spacing w:before="0" w:beforeAutospacing="0" w:after="0" w:afterAutospacing="0" w:line="300" w:lineRule="exact"/>
              <w:jc w:val="center"/>
              <w:rPr>
                <w:rFonts w:ascii="仿宋" w:hAnsi="仿宋" w:eastAsia="仿宋"/>
                <w:sz w:val="28"/>
                <w:szCs w:val="28"/>
              </w:rPr>
            </w:pPr>
          </w:p>
        </w:tc>
        <w:tc>
          <w:tcPr>
            <w:tcW w:w="3585" w:type="dxa"/>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sz w:val="28"/>
                <w:szCs w:val="28"/>
              </w:rPr>
              <w:t>第一层框架结构</w:t>
            </w:r>
          </w:p>
        </w:tc>
        <w:tc>
          <w:tcPr>
            <w:tcW w:w="946" w:type="dxa"/>
            <w:gridSpan w:val="2"/>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w:t>
            </w:r>
          </w:p>
        </w:tc>
        <w:tc>
          <w:tcPr>
            <w:tcW w:w="1481" w:type="dxa"/>
            <w:noWrap w:val="0"/>
            <w:vAlign w:val="center"/>
          </w:tcPr>
          <w:p>
            <w:pPr>
              <w:pStyle w:val="5"/>
              <w:spacing w:before="0" w:beforeAutospacing="0" w:after="0" w:afterAutospacing="0" w:line="300" w:lineRule="exact"/>
              <w:jc w:val="center"/>
              <w:rPr>
                <w:rFonts w:hint="eastAsia" w:ascii="仿宋" w:hAnsi="仿宋" w:eastAsia="仿宋"/>
                <w:sz w:val="28"/>
                <w:szCs w:val="28"/>
              </w:rPr>
            </w:pPr>
            <w:r>
              <w:rPr>
                <w:rFonts w:hint="eastAsia" w:ascii="仿宋" w:hAnsi="仿宋" w:eastAsia="仿宋"/>
                <w:sz w:val="28"/>
                <w:szCs w:val="28"/>
              </w:rPr>
              <w:t>3250</w:t>
            </w:r>
          </w:p>
        </w:tc>
        <w:tc>
          <w:tcPr>
            <w:tcW w:w="2713" w:type="dxa"/>
            <w:noWrap w:val="0"/>
            <w:vAlign w:val="center"/>
          </w:tcPr>
          <w:p>
            <w:pPr>
              <w:spacing w:line="300" w:lineRule="exact"/>
              <w:jc w:val="center"/>
              <w:rPr>
                <w:rFonts w:ascii="仿宋" w:hAnsi="仿宋" w:eastAsia="仿宋"/>
                <w:sz w:val="28"/>
                <w:szCs w:val="28"/>
              </w:rPr>
            </w:pPr>
            <w:r>
              <w:rPr>
                <w:rFonts w:hint="eastAsia" w:ascii="仿宋" w:hAnsi="仿宋" w:eastAsia="仿宋"/>
                <w:sz w:val="28"/>
                <w:szCs w:val="28"/>
              </w:rPr>
              <w:t>含地价、基础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dxa"/>
            <w:noWrap w:val="0"/>
            <w:vAlign w:val="center"/>
          </w:tcPr>
          <w:p>
            <w:pPr>
              <w:pStyle w:val="5"/>
              <w:spacing w:before="0" w:beforeAutospacing="0" w:after="0" w:afterAutospacing="0" w:line="300" w:lineRule="exact"/>
              <w:jc w:val="center"/>
              <w:rPr>
                <w:rFonts w:ascii="仿宋" w:hAnsi="仿宋" w:eastAsia="仿宋"/>
                <w:sz w:val="28"/>
                <w:szCs w:val="28"/>
              </w:rPr>
            </w:pPr>
          </w:p>
        </w:tc>
        <w:tc>
          <w:tcPr>
            <w:tcW w:w="3585" w:type="dxa"/>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sz w:val="28"/>
                <w:szCs w:val="28"/>
              </w:rPr>
              <w:t>第二层（或以上）框架结构</w:t>
            </w:r>
          </w:p>
        </w:tc>
        <w:tc>
          <w:tcPr>
            <w:tcW w:w="946" w:type="dxa"/>
            <w:gridSpan w:val="2"/>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w:t>
            </w:r>
          </w:p>
        </w:tc>
        <w:tc>
          <w:tcPr>
            <w:tcW w:w="1481" w:type="dxa"/>
            <w:noWrap w:val="0"/>
            <w:vAlign w:val="center"/>
          </w:tcPr>
          <w:p>
            <w:pPr>
              <w:pStyle w:val="5"/>
              <w:spacing w:before="0" w:beforeAutospacing="0" w:after="0" w:afterAutospacing="0" w:line="300" w:lineRule="exact"/>
              <w:jc w:val="center"/>
              <w:rPr>
                <w:rFonts w:hint="eastAsia" w:ascii="仿宋" w:hAnsi="仿宋" w:eastAsia="仿宋"/>
                <w:sz w:val="28"/>
                <w:szCs w:val="28"/>
              </w:rPr>
            </w:pPr>
            <w:r>
              <w:rPr>
                <w:rFonts w:hint="eastAsia" w:ascii="仿宋" w:hAnsi="仿宋" w:eastAsia="仿宋"/>
                <w:sz w:val="28"/>
                <w:szCs w:val="28"/>
              </w:rPr>
              <w:t>3150</w:t>
            </w:r>
          </w:p>
        </w:tc>
        <w:tc>
          <w:tcPr>
            <w:tcW w:w="2713" w:type="dxa"/>
            <w:noWrap w:val="0"/>
            <w:vAlign w:val="center"/>
          </w:tcPr>
          <w:p>
            <w:pPr>
              <w:spacing w:line="300" w:lineRule="exact"/>
              <w:jc w:val="center"/>
              <w:rPr>
                <w:rFonts w:ascii="仿宋" w:hAnsi="仿宋" w:eastAsia="仿宋"/>
                <w:sz w:val="28"/>
                <w:szCs w:val="28"/>
              </w:rPr>
            </w:pPr>
            <w:r>
              <w:rPr>
                <w:rFonts w:hint="eastAsia" w:ascii="仿宋" w:hAnsi="仿宋" w:eastAsia="仿宋"/>
                <w:sz w:val="28"/>
                <w:szCs w:val="28"/>
              </w:rPr>
              <w:t>含地价、基础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dxa"/>
            <w:noWrap w:val="0"/>
            <w:vAlign w:val="center"/>
          </w:tcPr>
          <w:p>
            <w:pPr>
              <w:pStyle w:val="5"/>
              <w:spacing w:before="0" w:beforeAutospacing="0" w:after="0" w:afterAutospacing="0" w:line="300" w:lineRule="exact"/>
              <w:jc w:val="center"/>
              <w:rPr>
                <w:rFonts w:hint="eastAsia" w:ascii="仿宋" w:hAnsi="仿宋" w:eastAsia="仿宋"/>
                <w:sz w:val="28"/>
                <w:szCs w:val="28"/>
              </w:rPr>
            </w:pPr>
            <w:r>
              <w:rPr>
                <w:rFonts w:hint="eastAsia" w:ascii="仿宋" w:hAnsi="仿宋" w:eastAsia="仿宋"/>
                <w:sz w:val="28"/>
                <w:szCs w:val="28"/>
              </w:rPr>
              <w:t>3</w:t>
            </w:r>
          </w:p>
        </w:tc>
        <w:tc>
          <w:tcPr>
            <w:tcW w:w="3585" w:type="dxa"/>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b/>
                <w:sz w:val="28"/>
                <w:szCs w:val="28"/>
              </w:rPr>
              <w:t>单层混合结构住宅</w:t>
            </w:r>
          </w:p>
        </w:tc>
        <w:tc>
          <w:tcPr>
            <w:tcW w:w="946" w:type="dxa"/>
            <w:gridSpan w:val="2"/>
            <w:noWrap w:val="0"/>
            <w:vAlign w:val="center"/>
          </w:tcPr>
          <w:p>
            <w:pPr>
              <w:pStyle w:val="5"/>
              <w:spacing w:before="0" w:beforeAutospacing="0" w:after="0" w:afterAutospacing="0" w:line="300" w:lineRule="exact"/>
              <w:jc w:val="center"/>
              <w:rPr>
                <w:rFonts w:ascii="仿宋" w:hAnsi="仿宋" w:eastAsia="仿宋"/>
                <w:sz w:val="28"/>
                <w:szCs w:val="28"/>
              </w:rPr>
            </w:pPr>
          </w:p>
        </w:tc>
        <w:tc>
          <w:tcPr>
            <w:tcW w:w="1481"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3300</w:t>
            </w:r>
          </w:p>
        </w:tc>
        <w:tc>
          <w:tcPr>
            <w:tcW w:w="2713" w:type="dxa"/>
            <w:noWrap w:val="0"/>
            <w:vAlign w:val="center"/>
          </w:tcPr>
          <w:p>
            <w:pPr>
              <w:spacing w:line="300" w:lineRule="exact"/>
              <w:jc w:val="center"/>
              <w:rPr>
                <w:rFonts w:ascii="仿宋" w:hAnsi="仿宋" w:eastAsia="仿宋"/>
                <w:sz w:val="28"/>
                <w:szCs w:val="28"/>
              </w:rPr>
            </w:pPr>
            <w:r>
              <w:rPr>
                <w:rFonts w:hint="eastAsia" w:ascii="仿宋" w:hAnsi="仿宋" w:eastAsia="仿宋"/>
                <w:sz w:val="28"/>
                <w:szCs w:val="28"/>
              </w:rPr>
              <w:t>含地价、基础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dxa"/>
            <w:noWrap w:val="0"/>
            <w:vAlign w:val="center"/>
          </w:tcPr>
          <w:p>
            <w:pPr>
              <w:pStyle w:val="5"/>
              <w:spacing w:before="0" w:beforeAutospacing="0" w:after="0" w:afterAutospacing="0" w:line="300" w:lineRule="exact"/>
              <w:jc w:val="center"/>
              <w:rPr>
                <w:rFonts w:hint="eastAsia" w:ascii="仿宋" w:hAnsi="仿宋" w:eastAsia="仿宋"/>
                <w:sz w:val="28"/>
                <w:szCs w:val="28"/>
              </w:rPr>
            </w:pPr>
            <w:r>
              <w:rPr>
                <w:rFonts w:hint="eastAsia" w:ascii="仿宋" w:hAnsi="仿宋" w:eastAsia="仿宋"/>
                <w:sz w:val="28"/>
                <w:szCs w:val="28"/>
              </w:rPr>
              <w:t>4</w:t>
            </w:r>
          </w:p>
        </w:tc>
        <w:tc>
          <w:tcPr>
            <w:tcW w:w="8725" w:type="dxa"/>
            <w:gridSpan w:val="5"/>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b/>
                <w:sz w:val="28"/>
                <w:szCs w:val="28"/>
              </w:rPr>
              <w:t>二层（或以上）混合结构住宅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dxa"/>
            <w:noWrap w:val="0"/>
            <w:vAlign w:val="center"/>
          </w:tcPr>
          <w:p>
            <w:pPr>
              <w:pStyle w:val="5"/>
              <w:spacing w:before="0" w:beforeAutospacing="0" w:after="0" w:afterAutospacing="0" w:line="300" w:lineRule="exact"/>
              <w:jc w:val="center"/>
              <w:rPr>
                <w:rFonts w:ascii="仿宋" w:hAnsi="仿宋" w:eastAsia="仿宋"/>
                <w:sz w:val="28"/>
                <w:szCs w:val="28"/>
              </w:rPr>
            </w:pPr>
          </w:p>
        </w:tc>
        <w:tc>
          <w:tcPr>
            <w:tcW w:w="3744" w:type="dxa"/>
            <w:gridSpan w:val="2"/>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sz w:val="28"/>
                <w:szCs w:val="28"/>
              </w:rPr>
              <w:t>第一层混合结构</w:t>
            </w:r>
          </w:p>
        </w:tc>
        <w:tc>
          <w:tcPr>
            <w:tcW w:w="787"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w:t>
            </w:r>
          </w:p>
        </w:tc>
        <w:tc>
          <w:tcPr>
            <w:tcW w:w="1481"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3100</w:t>
            </w:r>
          </w:p>
        </w:tc>
        <w:tc>
          <w:tcPr>
            <w:tcW w:w="2713" w:type="dxa"/>
            <w:noWrap w:val="0"/>
            <w:vAlign w:val="top"/>
          </w:tcPr>
          <w:p>
            <w:pPr>
              <w:spacing w:line="300" w:lineRule="exact"/>
              <w:jc w:val="center"/>
              <w:rPr>
                <w:rFonts w:ascii="仿宋" w:hAnsi="仿宋" w:eastAsia="仿宋"/>
                <w:sz w:val="28"/>
                <w:szCs w:val="28"/>
              </w:rPr>
            </w:pPr>
            <w:r>
              <w:rPr>
                <w:rFonts w:hint="eastAsia" w:ascii="仿宋" w:hAnsi="仿宋" w:eastAsia="仿宋"/>
                <w:sz w:val="28"/>
                <w:szCs w:val="28"/>
              </w:rPr>
              <w:t>含地价、基础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dxa"/>
            <w:noWrap w:val="0"/>
            <w:vAlign w:val="center"/>
          </w:tcPr>
          <w:p>
            <w:pPr>
              <w:pStyle w:val="5"/>
              <w:spacing w:before="0" w:beforeAutospacing="0" w:after="0" w:afterAutospacing="0" w:line="300" w:lineRule="exact"/>
              <w:jc w:val="center"/>
              <w:rPr>
                <w:rFonts w:ascii="仿宋" w:hAnsi="仿宋" w:eastAsia="仿宋"/>
                <w:sz w:val="28"/>
                <w:szCs w:val="28"/>
              </w:rPr>
            </w:pPr>
          </w:p>
        </w:tc>
        <w:tc>
          <w:tcPr>
            <w:tcW w:w="3744" w:type="dxa"/>
            <w:gridSpan w:val="2"/>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sz w:val="28"/>
                <w:szCs w:val="28"/>
              </w:rPr>
              <w:t>第二层（或以上）混合结构</w:t>
            </w:r>
          </w:p>
        </w:tc>
        <w:tc>
          <w:tcPr>
            <w:tcW w:w="787"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w:t>
            </w:r>
          </w:p>
        </w:tc>
        <w:tc>
          <w:tcPr>
            <w:tcW w:w="1481"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3000</w:t>
            </w:r>
          </w:p>
        </w:tc>
        <w:tc>
          <w:tcPr>
            <w:tcW w:w="2713" w:type="dxa"/>
            <w:noWrap w:val="0"/>
            <w:vAlign w:val="top"/>
          </w:tcPr>
          <w:p>
            <w:pPr>
              <w:spacing w:line="300" w:lineRule="exact"/>
              <w:jc w:val="center"/>
              <w:rPr>
                <w:rFonts w:ascii="仿宋" w:hAnsi="仿宋" w:eastAsia="仿宋"/>
                <w:sz w:val="28"/>
                <w:szCs w:val="28"/>
              </w:rPr>
            </w:pPr>
            <w:r>
              <w:rPr>
                <w:rFonts w:hint="eastAsia" w:ascii="仿宋" w:hAnsi="仿宋" w:eastAsia="仿宋"/>
                <w:sz w:val="28"/>
                <w:szCs w:val="28"/>
              </w:rPr>
              <w:t>含地价、基础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dxa"/>
            <w:noWrap w:val="0"/>
            <w:vAlign w:val="center"/>
          </w:tcPr>
          <w:p>
            <w:pPr>
              <w:pStyle w:val="5"/>
              <w:spacing w:before="0" w:beforeAutospacing="0" w:after="0" w:afterAutospacing="0" w:line="300" w:lineRule="exact"/>
              <w:jc w:val="center"/>
              <w:rPr>
                <w:rFonts w:hint="eastAsia" w:ascii="仿宋" w:hAnsi="仿宋" w:eastAsia="仿宋"/>
                <w:sz w:val="28"/>
                <w:szCs w:val="28"/>
              </w:rPr>
            </w:pPr>
            <w:r>
              <w:rPr>
                <w:rFonts w:hint="eastAsia" w:ascii="仿宋" w:hAnsi="仿宋" w:eastAsia="仿宋"/>
                <w:sz w:val="28"/>
                <w:szCs w:val="28"/>
              </w:rPr>
              <w:t>5</w:t>
            </w:r>
          </w:p>
        </w:tc>
        <w:tc>
          <w:tcPr>
            <w:tcW w:w="3744" w:type="dxa"/>
            <w:gridSpan w:val="2"/>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b/>
                <w:sz w:val="28"/>
                <w:szCs w:val="28"/>
              </w:rPr>
              <w:t>单层砖木瓦结构住宅</w:t>
            </w:r>
          </w:p>
        </w:tc>
        <w:tc>
          <w:tcPr>
            <w:tcW w:w="787"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w:t>
            </w:r>
          </w:p>
        </w:tc>
        <w:tc>
          <w:tcPr>
            <w:tcW w:w="1481" w:type="dxa"/>
            <w:noWrap w:val="0"/>
            <w:vAlign w:val="center"/>
          </w:tcPr>
          <w:p>
            <w:pPr>
              <w:pStyle w:val="5"/>
              <w:spacing w:before="0" w:beforeAutospacing="0" w:after="0" w:afterAutospacing="0" w:line="300" w:lineRule="exact"/>
              <w:jc w:val="center"/>
              <w:rPr>
                <w:rFonts w:hint="eastAsia" w:ascii="仿宋" w:hAnsi="仿宋" w:eastAsia="仿宋"/>
                <w:sz w:val="28"/>
                <w:szCs w:val="28"/>
              </w:rPr>
            </w:pPr>
            <w:r>
              <w:rPr>
                <w:rFonts w:hint="eastAsia" w:ascii="仿宋" w:hAnsi="仿宋" w:eastAsia="仿宋"/>
                <w:sz w:val="28"/>
                <w:szCs w:val="28"/>
              </w:rPr>
              <w:t>3050</w:t>
            </w:r>
          </w:p>
        </w:tc>
        <w:tc>
          <w:tcPr>
            <w:tcW w:w="2713" w:type="dxa"/>
            <w:noWrap w:val="0"/>
            <w:vAlign w:val="top"/>
          </w:tcPr>
          <w:p>
            <w:pPr>
              <w:spacing w:line="300" w:lineRule="exact"/>
              <w:jc w:val="center"/>
              <w:rPr>
                <w:rFonts w:ascii="仿宋" w:hAnsi="仿宋" w:eastAsia="仿宋"/>
                <w:sz w:val="28"/>
                <w:szCs w:val="28"/>
              </w:rPr>
            </w:pPr>
            <w:r>
              <w:rPr>
                <w:rFonts w:hint="eastAsia" w:ascii="仿宋" w:hAnsi="仿宋" w:eastAsia="仿宋"/>
                <w:sz w:val="28"/>
                <w:szCs w:val="28"/>
              </w:rPr>
              <w:t>含地价、基础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617" w:type="dxa"/>
            <w:noWrap w:val="0"/>
            <w:vAlign w:val="center"/>
          </w:tcPr>
          <w:p>
            <w:pPr>
              <w:pStyle w:val="5"/>
              <w:spacing w:before="0" w:beforeAutospacing="0" w:after="0" w:afterAutospacing="0" w:line="300" w:lineRule="exact"/>
              <w:jc w:val="center"/>
              <w:rPr>
                <w:rFonts w:hint="eastAsia" w:ascii="仿宋" w:hAnsi="仿宋" w:eastAsia="仿宋"/>
                <w:sz w:val="28"/>
                <w:szCs w:val="28"/>
              </w:rPr>
            </w:pPr>
            <w:r>
              <w:rPr>
                <w:rFonts w:hint="eastAsia" w:ascii="仿宋" w:hAnsi="仿宋" w:eastAsia="仿宋"/>
                <w:sz w:val="28"/>
                <w:szCs w:val="28"/>
              </w:rPr>
              <w:t>6</w:t>
            </w:r>
          </w:p>
        </w:tc>
        <w:tc>
          <w:tcPr>
            <w:tcW w:w="8725" w:type="dxa"/>
            <w:gridSpan w:val="5"/>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b/>
                <w:sz w:val="28"/>
                <w:szCs w:val="28"/>
              </w:rPr>
              <w:t>二层（或以上）砖木瓦机构住宅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dxa"/>
            <w:noWrap w:val="0"/>
            <w:vAlign w:val="center"/>
          </w:tcPr>
          <w:p>
            <w:pPr>
              <w:pStyle w:val="5"/>
              <w:spacing w:before="0" w:beforeAutospacing="0" w:after="0" w:afterAutospacing="0" w:line="300" w:lineRule="exact"/>
              <w:jc w:val="center"/>
              <w:rPr>
                <w:rFonts w:ascii="仿宋" w:hAnsi="仿宋" w:eastAsia="仿宋"/>
                <w:sz w:val="28"/>
                <w:szCs w:val="28"/>
              </w:rPr>
            </w:pPr>
          </w:p>
        </w:tc>
        <w:tc>
          <w:tcPr>
            <w:tcW w:w="3585" w:type="dxa"/>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sz w:val="28"/>
                <w:szCs w:val="28"/>
              </w:rPr>
              <w:t>第一层砖木瓦结构</w:t>
            </w:r>
          </w:p>
        </w:tc>
        <w:tc>
          <w:tcPr>
            <w:tcW w:w="946" w:type="dxa"/>
            <w:gridSpan w:val="2"/>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w:t>
            </w:r>
          </w:p>
        </w:tc>
        <w:tc>
          <w:tcPr>
            <w:tcW w:w="1481" w:type="dxa"/>
            <w:noWrap w:val="0"/>
            <w:vAlign w:val="center"/>
          </w:tcPr>
          <w:p>
            <w:pPr>
              <w:pStyle w:val="5"/>
              <w:spacing w:before="0" w:beforeAutospacing="0" w:after="0" w:afterAutospacing="0" w:line="300" w:lineRule="exact"/>
              <w:jc w:val="center"/>
              <w:rPr>
                <w:rFonts w:hint="eastAsia" w:ascii="仿宋" w:hAnsi="仿宋" w:eastAsia="仿宋"/>
                <w:sz w:val="28"/>
                <w:szCs w:val="28"/>
              </w:rPr>
            </w:pPr>
            <w:r>
              <w:rPr>
                <w:rFonts w:hint="eastAsia" w:ascii="仿宋" w:hAnsi="仿宋" w:eastAsia="仿宋"/>
                <w:sz w:val="28"/>
                <w:szCs w:val="28"/>
              </w:rPr>
              <w:t>2850</w:t>
            </w:r>
          </w:p>
        </w:tc>
        <w:tc>
          <w:tcPr>
            <w:tcW w:w="2713" w:type="dxa"/>
            <w:noWrap w:val="0"/>
            <w:vAlign w:val="top"/>
          </w:tcPr>
          <w:p>
            <w:pPr>
              <w:spacing w:line="300" w:lineRule="exact"/>
              <w:jc w:val="center"/>
              <w:rPr>
                <w:rFonts w:ascii="仿宋" w:hAnsi="仿宋" w:eastAsia="仿宋"/>
                <w:sz w:val="28"/>
                <w:szCs w:val="28"/>
              </w:rPr>
            </w:pPr>
            <w:r>
              <w:rPr>
                <w:rFonts w:hint="eastAsia" w:ascii="仿宋" w:hAnsi="仿宋" w:eastAsia="仿宋"/>
                <w:sz w:val="28"/>
                <w:szCs w:val="28"/>
              </w:rPr>
              <w:t>含地价、基础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dxa"/>
            <w:noWrap w:val="0"/>
            <w:vAlign w:val="center"/>
          </w:tcPr>
          <w:p>
            <w:pPr>
              <w:pStyle w:val="5"/>
              <w:spacing w:before="0" w:beforeAutospacing="0" w:after="0" w:afterAutospacing="0" w:line="300" w:lineRule="exact"/>
              <w:jc w:val="center"/>
              <w:rPr>
                <w:rFonts w:ascii="仿宋" w:hAnsi="仿宋" w:eastAsia="仿宋"/>
                <w:sz w:val="28"/>
                <w:szCs w:val="28"/>
              </w:rPr>
            </w:pPr>
          </w:p>
        </w:tc>
        <w:tc>
          <w:tcPr>
            <w:tcW w:w="3585" w:type="dxa"/>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sz w:val="28"/>
                <w:szCs w:val="28"/>
              </w:rPr>
              <w:t>第二层（或以上）砖木瓦结构</w:t>
            </w:r>
          </w:p>
        </w:tc>
        <w:tc>
          <w:tcPr>
            <w:tcW w:w="946" w:type="dxa"/>
            <w:gridSpan w:val="2"/>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w:t>
            </w:r>
          </w:p>
        </w:tc>
        <w:tc>
          <w:tcPr>
            <w:tcW w:w="1481" w:type="dxa"/>
            <w:noWrap w:val="0"/>
            <w:vAlign w:val="center"/>
          </w:tcPr>
          <w:p>
            <w:pPr>
              <w:pStyle w:val="5"/>
              <w:spacing w:before="0" w:beforeAutospacing="0" w:after="0" w:afterAutospacing="0" w:line="300" w:lineRule="exact"/>
              <w:jc w:val="center"/>
              <w:rPr>
                <w:rFonts w:hint="eastAsia" w:ascii="仿宋" w:hAnsi="仿宋" w:eastAsia="仿宋"/>
                <w:sz w:val="28"/>
                <w:szCs w:val="28"/>
              </w:rPr>
            </w:pPr>
            <w:r>
              <w:rPr>
                <w:rFonts w:hint="eastAsia" w:ascii="仿宋" w:hAnsi="仿宋" w:eastAsia="仿宋"/>
                <w:sz w:val="28"/>
                <w:szCs w:val="28"/>
              </w:rPr>
              <w:t>2800</w:t>
            </w:r>
          </w:p>
        </w:tc>
        <w:tc>
          <w:tcPr>
            <w:tcW w:w="2713" w:type="dxa"/>
            <w:noWrap w:val="0"/>
            <w:vAlign w:val="top"/>
          </w:tcPr>
          <w:p>
            <w:pPr>
              <w:spacing w:line="300" w:lineRule="exact"/>
              <w:jc w:val="center"/>
              <w:rPr>
                <w:rFonts w:ascii="仿宋" w:hAnsi="仿宋" w:eastAsia="仿宋"/>
                <w:sz w:val="28"/>
                <w:szCs w:val="28"/>
              </w:rPr>
            </w:pPr>
            <w:r>
              <w:rPr>
                <w:rFonts w:hint="eastAsia" w:ascii="仿宋" w:hAnsi="仿宋" w:eastAsia="仿宋"/>
                <w:sz w:val="28"/>
                <w:szCs w:val="28"/>
              </w:rPr>
              <w:t>含地价、基础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7" w:type="dxa"/>
            <w:noWrap w:val="0"/>
            <w:vAlign w:val="center"/>
          </w:tcPr>
          <w:p>
            <w:pPr>
              <w:pStyle w:val="5"/>
              <w:spacing w:before="0" w:beforeAutospacing="0" w:after="0" w:afterAutospacing="0" w:line="300" w:lineRule="exact"/>
              <w:jc w:val="center"/>
              <w:rPr>
                <w:rFonts w:hint="eastAsia" w:ascii="仿宋" w:hAnsi="仿宋" w:eastAsia="仿宋"/>
                <w:color w:val="333333"/>
                <w:sz w:val="28"/>
                <w:szCs w:val="28"/>
              </w:rPr>
            </w:pPr>
            <w:r>
              <w:rPr>
                <w:rFonts w:hint="eastAsia" w:ascii="仿宋" w:hAnsi="仿宋" w:eastAsia="仿宋"/>
                <w:color w:val="333333"/>
                <w:sz w:val="28"/>
                <w:szCs w:val="28"/>
              </w:rPr>
              <w:t>7</w:t>
            </w:r>
          </w:p>
        </w:tc>
        <w:tc>
          <w:tcPr>
            <w:tcW w:w="3585" w:type="dxa"/>
            <w:noWrap w:val="0"/>
            <w:vAlign w:val="center"/>
          </w:tcPr>
          <w:p>
            <w:pPr>
              <w:pStyle w:val="5"/>
              <w:spacing w:before="0" w:beforeAutospacing="0" w:after="0" w:afterAutospacing="0" w:line="300" w:lineRule="exact"/>
              <w:rPr>
                <w:rFonts w:ascii="仿宋" w:hAnsi="仿宋" w:eastAsia="仿宋"/>
                <w:color w:val="333333"/>
                <w:sz w:val="28"/>
                <w:szCs w:val="28"/>
              </w:rPr>
            </w:pPr>
            <w:r>
              <w:rPr>
                <w:rFonts w:hint="eastAsia" w:ascii="仿宋" w:hAnsi="仿宋" w:eastAsia="仿宋"/>
                <w:b/>
                <w:color w:val="333333"/>
                <w:sz w:val="28"/>
                <w:szCs w:val="28"/>
              </w:rPr>
              <w:t>顶层铁皮屋、铁皮棚</w:t>
            </w:r>
          </w:p>
        </w:tc>
        <w:tc>
          <w:tcPr>
            <w:tcW w:w="946" w:type="dxa"/>
            <w:gridSpan w:val="2"/>
            <w:noWrap w:val="0"/>
            <w:vAlign w:val="center"/>
          </w:tcPr>
          <w:p>
            <w:pPr>
              <w:pStyle w:val="5"/>
              <w:spacing w:before="0" w:beforeAutospacing="0" w:after="0" w:afterAutospacing="0" w:line="300" w:lineRule="exact"/>
              <w:jc w:val="center"/>
              <w:rPr>
                <w:rFonts w:ascii="仿宋" w:hAnsi="仿宋" w:eastAsia="仿宋"/>
                <w:color w:val="333333"/>
                <w:sz w:val="28"/>
                <w:szCs w:val="28"/>
              </w:rPr>
            </w:pPr>
            <w:r>
              <w:rPr>
                <w:rFonts w:hint="eastAsia" w:ascii="仿宋" w:hAnsi="仿宋" w:eastAsia="仿宋"/>
                <w:color w:val="333333"/>
                <w:sz w:val="28"/>
                <w:szCs w:val="28"/>
              </w:rPr>
              <w:t>㎡</w:t>
            </w:r>
          </w:p>
        </w:tc>
        <w:tc>
          <w:tcPr>
            <w:tcW w:w="1481" w:type="dxa"/>
            <w:noWrap w:val="0"/>
            <w:vAlign w:val="center"/>
          </w:tcPr>
          <w:p>
            <w:pPr>
              <w:pStyle w:val="5"/>
              <w:spacing w:before="0" w:beforeAutospacing="0" w:after="0" w:afterAutospacing="0" w:line="300" w:lineRule="exact"/>
              <w:jc w:val="center"/>
              <w:rPr>
                <w:rFonts w:hint="eastAsia" w:ascii="仿宋" w:hAnsi="仿宋" w:eastAsia="仿宋"/>
                <w:color w:val="333333"/>
                <w:sz w:val="28"/>
                <w:szCs w:val="28"/>
              </w:rPr>
            </w:pPr>
            <w:r>
              <w:rPr>
                <w:rFonts w:hint="eastAsia" w:ascii="仿宋" w:hAnsi="仿宋" w:eastAsia="仿宋"/>
                <w:color w:val="333333"/>
                <w:sz w:val="28"/>
                <w:szCs w:val="28"/>
              </w:rPr>
              <w:t>300</w:t>
            </w:r>
          </w:p>
        </w:tc>
        <w:tc>
          <w:tcPr>
            <w:tcW w:w="2713" w:type="dxa"/>
            <w:noWrap w:val="0"/>
            <w:vAlign w:val="top"/>
          </w:tcPr>
          <w:p>
            <w:pPr>
              <w:spacing w:line="300" w:lineRule="exact"/>
              <w:jc w:val="center"/>
              <w:rPr>
                <w:rFonts w:hint="eastAsia" w:ascii="仿宋" w:hAnsi="仿宋" w:eastAsia="仿宋"/>
                <w:sz w:val="28"/>
                <w:szCs w:val="28"/>
              </w:rPr>
            </w:pPr>
          </w:p>
        </w:tc>
      </w:tr>
    </w:tbl>
    <w:p>
      <w:pPr>
        <w:pStyle w:val="5"/>
        <w:spacing w:before="0" w:beforeAutospacing="0" w:after="0" w:afterAutospacing="0" w:line="200" w:lineRule="exact"/>
        <w:rPr>
          <w:rFonts w:ascii="仿宋" w:hAnsi="仿宋" w:eastAsia="仿宋"/>
          <w:sz w:val="32"/>
          <w:szCs w:val="32"/>
        </w:rPr>
      </w:pPr>
    </w:p>
    <w:p>
      <w:pPr>
        <w:pStyle w:val="5"/>
        <w:spacing w:before="0" w:beforeAutospacing="0" w:after="0" w:afterAutospacing="0" w:line="600" w:lineRule="exact"/>
        <w:ind w:firstLine="640" w:firstLineChars="200"/>
        <w:outlineLvl w:val="0"/>
        <w:rPr>
          <w:rFonts w:hint="eastAsia" w:ascii="黑体" w:hAnsi="黑体" w:eastAsia="黑体" w:cs="黑体"/>
          <w:sz w:val="32"/>
          <w:szCs w:val="32"/>
        </w:rPr>
      </w:pPr>
      <w:bookmarkStart w:id="33" w:name="_Toc12776"/>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二</w:t>
      </w:r>
      <w:r>
        <w:rPr>
          <w:rFonts w:hint="eastAsia" w:ascii="黑体" w:hAnsi="黑体" w:eastAsia="黑体" w:cs="黑体"/>
          <w:sz w:val="32"/>
          <w:szCs w:val="32"/>
          <w:lang w:eastAsia="zh-CN"/>
        </w:rPr>
        <w:t>）</w:t>
      </w:r>
      <w:r>
        <w:rPr>
          <w:rFonts w:hint="eastAsia" w:ascii="黑体" w:hAnsi="黑体" w:eastAsia="黑体" w:cs="黑体"/>
          <w:sz w:val="32"/>
          <w:szCs w:val="32"/>
        </w:rPr>
        <w:t>其他建筑物及构筑物（包括非农业生产性用房）</w:t>
      </w:r>
      <w:bookmarkEnd w:id="33"/>
    </w:p>
    <w:p>
      <w:pPr>
        <w:pStyle w:val="5"/>
        <w:spacing w:before="0" w:beforeAutospacing="0" w:after="0" w:afterAutospacing="0" w:line="600" w:lineRule="exact"/>
        <w:ind w:firstLine="640" w:firstLineChars="200"/>
        <w:rPr>
          <w:rFonts w:ascii="仿宋" w:hAnsi="仿宋" w:eastAsia="仿宋"/>
          <w:sz w:val="32"/>
          <w:szCs w:val="32"/>
        </w:rPr>
      </w:pPr>
      <w:r>
        <w:rPr>
          <w:rFonts w:hint="eastAsia" w:ascii="仿宋" w:hAnsi="仿宋" w:eastAsia="仿宋"/>
          <w:sz w:val="32"/>
          <w:szCs w:val="32"/>
        </w:rPr>
        <w:t>估价对象建筑物成本价值单价评估表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3363"/>
        <w:gridCol w:w="1411"/>
        <w:gridCol w:w="1637"/>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exact"/>
        </w:trPr>
        <w:tc>
          <w:tcPr>
            <w:tcW w:w="785" w:type="dxa"/>
            <w:noWrap w:val="0"/>
            <w:vAlign w:val="center"/>
          </w:tcPr>
          <w:p>
            <w:pPr>
              <w:pStyle w:val="5"/>
              <w:spacing w:before="0" w:beforeAutospacing="0" w:after="0" w:afterAutospacing="0" w:line="600" w:lineRule="exact"/>
              <w:jc w:val="center"/>
              <w:rPr>
                <w:rFonts w:hint="eastAsia" w:ascii="黑体" w:hAnsi="黑体" w:eastAsia="黑体" w:cs="黑体"/>
                <w:bCs/>
                <w:sz w:val="28"/>
                <w:szCs w:val="28"/>
              </w:rPr>
            </w:pPr>
            <w:r>
              <w:rPr>
                <w:rFonts w:hint="eastAsia" w:ascii="黑体" w:hAnsi="黑体" w:eastAsia="黑体" w:cs="黑体"/>
                <w:bCs/>
                <w:sz w:val="28"/>
                <w:szCs w:val="28"/>
              </w:rPr>
              <w:t>序号</w:t>
            </w:r>
          </w:p>
        </w:tc>
        <w:tc>
          <w:tcPr>
            <w:tcW w:w="3363" w:type="dxa"/>
            <w:noWrap w:val="0"/>
            <w:vAlign w:val="center"/>
          </w:tcPr>
          <w:p>
            <w:pPr>
              <w:pStyle w:val="5"/>
              <w:spacing w:before="0" w:beforeAutospacing="0" w:after="0" w:afterAutospacing="0" w:line="600" w:lineRule="exact"/>
              <w:jc w:val="center"/>
              <w:rPr>
                <w:rFonts w:hint="eastAsia" w:ascii="黑体" w:hAnsi="黑体" w:eastAsia="黑体" w:cs="黑体"/>
                <w:bCs/>
                <w:sz w:val="28"/>
                <w:szCs w:val="28"/>
              </w:rPr>
            </w:pPr>
            <w:r>
              <w:rPr>
                <w:rFonts w:hint="eastAsia" w:ascii="黑体" w:hAnsi="黑体" w:eastAsia="黑体" w:cs="黑体"/>
                <w:bCs/>
                <w:sz w:val="28"/>
                <w:szCs w:val="28"/>
              </w:rPr>
              <w:t>项目名称</w:t>
            </w:r>
          </w:p>
        </w:tc>
        <w:tc>
          <w:tcPr>
            <w:tcW w:w="1411" w:type="dxa"/>
            <w:noWrap w:val="0"/>
            <w:vAlign w:val="center"/>
          </w:tcPr>
          <w:p>
            <w:pPr>
              <w:pStyle w:val="5"/>
              <w:spacing w:before="0" w:beforeAutospacing="0" w:after="0" w:afterAutospacing="0" w:line="600" w:lineRule="exact"/>
              <w:jc w:val="center"/>
              <w:rPr>
                <w:rFonts w:hint="eastAsia" w:ascii="黑体" w:hAnsi="黑体" w:eastAsia="黑体" w:cs="黑体"/>
                <w:bCs/>
                <w:sz w:val="28"/>
                <w:szCs w:val="28"/>
              </w:rPr>
            </w:pPr>
            <w:r>
              <w:rPr>
                <w:rFonts w:hint="eastAsia" w:ascii="黑体" w:hAnsi="黑体" w:eastAsia="黑体" w:cs="黑体"/>
                <w:bCs/>
                <w:sz w:val="28"/>
                <w:szCs w:val="28"/>
              </w:rPr>
              <w:t>单位</w:t>
            </w:r>
          </w:p>
        </w:tc>
        <w:tc>
          <w:tcPr>
            <w:tcW w:w="1637" w:type="dxa"/>
            <w:noWrap w:val="0"/>
            <w:vAlign w:val="center"/>
          </w:tcPr>
          <w:p>
            <w:pPr>
              <w:pStyle w:val="5"/>
              <w:spacing w:before="0" w:beforeAutospacing="0" w:after="0" w:afterAutospacing="0" w:line="600" w:lineRule="exact"/>
              <w:jc w:val="center"/>
              <w:rPr>
                <w:rFonts w:hint="eastAsia" w:ascii="黑体" w:hAnsi="黑体" w:eastAsia="黑体" w:cs="黑体"/>
                <w:bCs/>
                <w:sz w:val="28"/>
                <w:szCs w:val="28"/>
              </w:rPr>
            </w:pPr>
            <w:r>
              <w:rPr>
                <w:rFonts w:hint="eastAsia" w:ascii="黑体" w:hAnsi="黑体" w:eastAsia="黑体" w:cs="黑体"/>
                <w:bCs/>
                <w:sz w:val="28"/>
                <w:szCs w:val="28"/>
              </w:rPr>
              <w:t>单价（元）</w:t>
            </w:r>
          </w:p>
        </w:tc>
        <w:tc>
          <w:tcPr>
            <w:tcW w:w="2103" w:type="dxa"/>
            <w:noWrap w:val="0"/>
            <w:vAlign w:val="center"/>
          </w:tcPr>
          <w:p>
            <w:pPr>
              <w:pStyle w:val="5"/>
              <w:spacing w:before="0" w:beforeAutospacing="0" w:after="0" w:afterAutospacing="0" w:line="600" w:lineRule="exact"/>
              <w:jc w:val="center"/>
              <w:rPr>
                <w:rFonts w:hint="eastAsia" w:ascii="黑体" w:hAnsi="黑体" w:eastAsia="黑体" w:cs="黑体"/>
                <w:bCs/>
                <w:sz w:val="28"/>
                <w:szCs w:val="28"/>
              </w:rPr>
            </w:pPr>
            <w:r>
              <w:rPr>
                <w:rFonts w:hint="eastAsia" w:ascii="黑体" w:hAnsi="黑体" w:eastAsia="黑体" w:cs="黑体"/>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785" w:type="dxa"/>
            <w:noWrap w:val="0"/>
            <w:vAlign w:val="center"/>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w:t>
            </w:r>
          </w:p>
        </w:tc>
        <w:tc>
          <w:tcPr>
            <w:tcW w:w="3363" w:type="dxa"/>
            <w:noWrap w:val="0"/>
            <w:vAlign w:val="center"/>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框架结构</w:t>
            </w:r>
          </w:p>
        </w:tc>
        <w:tc>
          <w:tcPr>
            <w:tcW w:w="1411" w:type="dxa"/>
            <w:noWrap w:val="0"/>
            <w:vAlign w:val="center"/>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w:t>
            </w:r>
          </w:p>
        </w:tc>
        <w:tc>
          <w:tcPr>
            <w:tcW w:w="1637" w:type="dxa"/>
            <w:noWrap w:val="0"/>
            <w:vAlign w:val="center"/>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1100</w:t>
            </w:r>
          </w:p>
        </w:tc>
        <w:tc>
          <w:tcPr>
            <w:tcW w:w="2103" w:type="dxa"/>
            <w:noWrap w:val="0"/>
            <w:vAlign w:val="center"/>
          </w:tcPr>
          <w:p>
            <w:pPr>
              <w:spacing w:line="300" w:lineRule="exact"/>
              <w:jc w:val="center"/>
              <w:rPr>
                <w:rFonts w:ascii="仿宋" w:hAnsi="仿宋" w:eastAsia="仿宋"/>
                <w:sz w:val="28"/>
                <w:szCs w:val="28"/>
              </w:rPr>
            </w:pPr>
            <w:r>
              <w:rPr>
                <w:rFonts w:hint="eastAsia" w:ascii="仿宋" w:hAnsi="仿宋" w:eastAsia="仿宋"/>
                <w:sz w:val="28"/>
                <w:szCs w:val="28"/>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785" w:type="dxa"/>
            <w:noWrap w:val="0"/>
            <w:vAlign w:val="center"/>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2</w:t>
            </w:r>
          </w:p>
        </w:tc>
        <w:tc>
          <w:tcPr>
            <w:tcW w:w="3363" w:type="dxa"/>
            <w:noWrap w:val="0"/>
            <w:vAlign w:val="center"/>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混合结构</w:t>
            </w:r>
          </w:p>
        </w:tc>
        <w:tc>
          <w:tcPr>
            <w:tcW w:w="1411" w:type="dxa"/>
            <w:noWrap w:val="0"/>
            <w:vAlign w:val="center"/>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w:t>
            </w:r>
          </w:p>
        </w:tc>
        <w:tc>
          <w:tcPr>
            <w:tcW w:w="1637" w:type="dxa"/>
            <w:noWrap w:val="0"/>
            <w:vAlign w:val="center"/>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1000</w:t>
            </w:r>
          </w:p>
        </w:tc>
        <w:tc>
          <w:tcPr>
            <w:tcW w:w="2103" w:type="dxa"/>
            <w:noWrap w:val="0"/>
            <w:vAlign w:val="center"/>
          </w:tcPr>
          <w:p>
            <w:pPr>
              <w:spacing w:line="300" w:lineRule="exact"/>
              <w:jc w:val="center"/>
              <w:rPr>
                <w:rFonts w:ascii="仿宋" w:hAnsi="仿宋" w:eastAsia="仿宋"/>
                <w:sz w:val="28"/>
                <w:szCs w:val="28"/>
              </w:rPr>
            </w:pPr>
            <w:r>
              <w:rPr>
                <w:rFonts w:hint="eastAsia" w:ascii="仿宋" w:hAnsi="仿宋" w:eastAsia="仿宋"/>
                <w:sz w:val="28"/>
                <w:szCs w:val="28"/>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785" w:type="dxa"/>
            <w:noWrap w:val="0"/>
            <w:vAlign w:val="center"/>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3</w:t>
            </w:r>
          </w:p>
        </w:tc>
        <w:tc>
          <w:tcPr>
            <w:tcW w:w="3363" w:type="dxa"/>
            <w:noWrap w:val="0"/>
            <w:vAlign w:val="center"/>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红砖木瓦结构</w:t>
            </w:r>
          </w:p>
        </w:tc>
        <w:tc>
          <w:tcPr>
            <w:tcW w:w="1411" w:type="dxa"/>
            <w:noWrap w:val="0"/>
            <w:vAlign w:val="center"/>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w:t>
            </w:r>
          </w:p>
        </w:tc>
        <w:tc>
          <w:tcPr>
            <w:tcW w:w="1637" w:type="dxa"/>
            <w:noWrap w:val="0"/>
            <w:vAlign w:val="center"/>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750</w:t>
            </w:r>
          </w:p>
        </w:tc>
        <w:tc>
          <w:tcPr>
            <w:tcW w:w="2103" w:type="dxa"/>
            <w:noWrap w:val="0"/>
            <w:vAlign w:val="center"/>
          </w:tcPr>
          <w:p>
            <w:pPr>
              <w:spacing w:line="300" w:lineRule="exact"/>
              <w:jc w:val="center"/>
              <w:rPr>
                <w:rFonts w:ascii="仿宋" w:hAnsi="仿宋" w:eastAsia="仿宋"/>
                <w:sz w:val="28"/>
                <w:szCs w:val="28"/>
              </w:rPr>
            </w:pPr>
            <w:r>
              <w:rPr>
                <w:rFonts w:hint="eastAsia" w:ascii="仿宋" w:hAnsi="仿宋" w:eastAsia="仿宋"/>
                <w:sz w:val="28"/>
                <w:szCs w:val="28"/>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785" w:type="dxa"/>
            <w:noWrap w:val="0"/>
            <w:vAlign w:val="center"/>
          </w:tcPr>
          <w:p>
            <w:pPr>
              <w:pStyle w:val="5"/>
              <w:spacing w:before="0" w:beforeAutospacing="0" w:after="0" w:afterAutospacing="0" w:line="600" w:lineRule="exact"/>
              <w:jc w:val="center"/>
              <w:rPr>
                <w:rFonts w:ascii="仿宋" w:hAnsi="仿宋" w:eastAsia="仿宋"/>
                <w:sz w:val="32"/>
                <w:szCs w:val="32"/>
              </w:rPr>
            </w:pPr>
            <w:r>
              <w:rPr>
                <w:rFonts w:hint="eastAsia" w:ascii="仿宋" w:hAnsi="仿宋" w:eastAsia="仿宋"/>
                <w:sz w:val="32"/>
                <w:szCs w:val="32"/>
              </w:rPr>
              <w:t>4</w:t>
            </w:r>
          </w:p>
        </w:tc>
        <w:tc>
          <w:tcPr>
            <w:tcW w:w="3363" w:type="dxa"/>
            <w:noWrap w:val="0"/>
            <w:vAlign w:val="center"/>
          </w:tcPr>
          <w:p>
            <w:pPr>
              <w:pStyle w:val="5"/>
              <w:spacing w:before="0" w:beforeAutospacing="0" w:after="0" w:afterAutospacing="0" w:line="600" w:lineRule="exact"/>
              <w:jc w:val="center"/>
              <w:rPr>
                <w:rFonts w:ascii="仿宋" w:hAnsi="仿宋" w:eastAsia="仿宋"/>
                <w:sz w:val="32"/>
                <w:szCs w:val="32"/>
              </w:rPr>
            </w:pPr>
            <w:r>
              <w:rPr>
                <w:rFonts w:hint="eastAsia" w:ascii="仿宋" w:hAnsi="仿宋" w:eastAsia="仿宋"/>
                <w:sz w:val="28"/>
                <w:szCs w:val="28"/>
              </w:rPr>
              <w:t>泥砖木瓦结构</w:t>
            </w:r>
          </w:p>
        </w:tc>
        <w:tc>
          <w:tcPr>
            <w:tcW w:w="1411" w:type="dxa"/>
            <w:noWrap w:val="0"/>
            <w:vAlign w:val="center"/>
          </w:tcPr>
          <w:p>
            <w:pPr>
              <w:pStyle w:val="5"/>
              <w:spacing w:before="0" w:beforeAutospacing="0" w:after="0" w:afterAutospacing="0" w:line="600" w:lineRule="exact"/>
              <w:jc w:val="center"/>
              <w:rPr>
                <w:rFonts w:ascii="仿宋" w:hAnsi="仿宋" w:eastAsia="仿宋"/>
                <w:sz w:val="32"/>
                <w:szCs w:val="32"/>
              </w:rPr>
            </w:pPr>
            <w:r>
              <w:rPr>
                <w:rFonts w:hint="eastAsia" w:ascii="仿宋" w:hAnsi="仿宋" w:eastAsia="仿宋"/>
                <w:sz w:val="28"/>
                <w:szCs w:val="28"/>
              </w:rPr>
              <w:t>㎡</w:t>
            </w:r>
          </w:p>
        </w:tc>
        <w:tc>
          <w:tcPr>
            <w:tcW w:w="1637" w:type="dxa"/>
            <w:noWrap w:val="0"/>
            <w:vAlign w:val="center"/>
          </w:tcPr>
          <w:p>
            <w:pPr>
              <w:pStyle w:val="5"/>
              <w:spacing w:before="0" w:beforeAutospacing="0" w:after="0" w:afterAutospacing="0" w:line="600" w:lineRule="exact"/>
              <w:jc w:val="center"/>
              <w:rPr>
                <w:rFonts w:hint="eastAsia" w:ascii="仿宋" w:hAnsi="仿宋" w:eastAsia="仿宋"/>
                <w:sz w:val="32"/>
                <w:szCs w:val="32"/>
              </w:rPr>
            </w:pPr>
            <w:r>
              <w:rPr>
                <w:rFonts w:hint="eastAsia" w:ascii="仿宋" w:hAnsi="仿宋" w:eastAsia="仿宋"/>
                <w:sz w:val="32"/>
                <w:szCs w:val="32"/>
              </w:rPr>
              <w:t>650</w:t>
            </w:r>
          </w:p>
        </w:tc>
        <w:tc>
          <w:tcPr>
            <w:tcW w:w="2103" w:type="dxa"/>
            <w:noWrap w:val="0"/>
            <w:vAlign w:val="center"/>
          </w:tcPr>
          <w:p>
            <w:pPr>
              <w:spacing w:line="300" w:lineRule="exact"/>
              <w:jc w:val="center"/>
              <w:rPr>
                <w:rFonts w:ascii="仿宋" w:hAnsi="仿宋" w:eastAsia="仿宋"/>
                <w:sz w:val="28"/>
                <w:szCs w:val="28"/>
              </w:rPr>
            </w:pPr>
            <w:r>
              <w:rPr>
                <w:rFonts w:hint="eastAsia" w:ascii="仿宋" w:hAnsi="仿宋" w:eastAsia="仿宋"/>
                <w:sz w:val="28"/>
                <w:szCs w:val="28"/>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785" w:type="dxa"/>
            <w:noWrap w:val="0"/>
            <w:vAlign w:val="center"/>
          </w:tcPr>
          <w:p>
            <w:pPr>
              <w:pStyle w:val="5"/>
              <w:spacing w:before="0" w:beforeAutospacing="0" w:after="0" w:afterAutospacing="0" w:line="600" w:lineRule="exact"/>
              <w:jc w:val="center"/>
              <w:rPr>
                <w:rFonts w:hint="eastAsia" w:ascii="仿宋" w:hAnsi="仿宋" w:eastAsia="仿宋"/>
                <w:sz w:val="32"/>
                <w:szCs w:val="32"/>
              </w:rPr>
            </w:pPr>
            <w:r>
              <w:rPr>
                <w:rFonts w:hint="eastAsia" w:ascii="仿宋" w:hAnsi="仿宋" w:eastAsia="仿宋"/>
                <w:sz w:val="32"/>
                <w:szCs w:val="32"/>
              </w:rPr>
              <w:t>5</w:t>
            </w:r>
          </w:p>
        </w:tc>
        <w:tc>
          <w:tcPr>
            <w:tcW w:w="3363" w:type="dxa"/>
            <w:noWrap w:val="0"/>
            <w:vAlign w:val="center"/>
          </w:tcPr>
          <w:p>
            <w:pPr>
              <w:pStyle w:val="5"/>
              <w:spacing w:before="0" w:beforeAutospacing="0" w:after="0" w:afterAutospacing="0" w:line="600" w:lineRule="exact"/>
              <w:jc w:val="center"/>
              <w:rPr>
                <w:rFonts w:hint="eastAsia" w:ascii="仿宋" w:hAnsi="仿宋" w:eastAsia="仿宋"/>
                <w:sz w:val="32"/>
                <w:szCs w:val="32"/>
              </w:rPr>
            </w:pPr>
            <w:r>
              <w:rPr>
                <w:rFonts w:hint="eastAsia" w:ascii="仿宋" w:hAnsi="仿宋" w:eastAsia="仿宋"/>
                <w:sz w:val="32"/>
                <w:szCs w:val="32"/>
              </w:rPr>
              <w:t>红砖铁皮瓦</w:t>
            </w:r>
          </w:p>
        </w:tc>
        <w:tc>
          <w:tcPr>
            <w:tcW w:w="1411" w:type="dxa"/>
            <w:noWrap w:val="0"/>
            <w:vAlign w:val="center"/>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w:t>
            </w:r>
          </w:p>
        </w:tc>
        <w:tc>
          <w:tcPr>
            <w:tcW w:w="1637" w:type="dxa"/>
            <w:noWrap w:val="0"/>
            <w:vAlign w:val="center"/>
          </w:tcPr>
          <w:p>
            <w:pPr>
              <w:pStyle w:val="5"/>
              <w:spacing w:before="0" w:beforeAutospacing="0" w:after="0" w:afterAutospacing="0" w:line="600" w:lineRule="exact"/>
              <w:jc w:val="center"/>
              <w:rPr>
                <w:rFonts w:hint="eastAsia" w:ascii="仿宋" w:hAnsi="仿宋" w:eastAsia="仿宋"/>
                <w:sz w:val="32"/>
                <w:szCs w:val="32"/>
              </w:rPr>
            </w:pPr>
            <w:r>
              <w:rPr>
                <w:rFonts w:hint="eastAsia" w:ascii="仿宋" w:hAnsi="仿宋" w:eastAsia="仿宋"/>
                <w:sz w:val="32"/>
                <w:szCs w:val="32"/>
              </w:rPr>
              <w:t>550</w:t>
            </w:r>
          </w:p>
        </w:tc>
        <w:tc>
          <w:tcPr>
            <w:tcW w:w="2103" w:type="dxa"/>
            <w:noWrap w:val="0"/>
            <w:vAlign w:val="center"/>
          </w:tcPr>
          <w:p>
            <w:pPr>
              <w:spacing w:line="300" w:lineRule="exact"/>
              <w:jc w:val="center"/>
              <w:rPr>
                <w:rFonts w:hint="eastAsia" w:ascii="仿宋" w:hAnsi="仿宋" w:eastAsia="仿宋"/>
                <w:sz w:val="28"/>
                <w:szCs w:val="28"/>
              </w:rPr>
            </w:pPr>
            <w:r>
              <w:rPr>
                <w:rFonts w:hint="eastAsia" w:ascii="仿宋" w:hAnsi="仿宋" w:eastAsia="仿宋"/>
                <w:sz w:val="28"/>
                <w:szCs w:val="28"/>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785" w:type="dxa"/>
            <w:noWrap w:val="0"/>
            <w:vAlign w:val="center"/>
          </w:tcPr>
          <w:p>
            <w:pPr>
              <w:pStyle w:val="5"/>
              <w:spacing w:before="0" w:beforeAutospacing="0" w:after="0" w:afterAutospacing="0" w:line="600" w:lineRule="exact"/>
              <w:jc w:val="center"/>
              <w:rPr>
                <w:rFonts w:hint="eastAsia" w:ascii="仿宋" w:hAnsi="仿宋" w:eastAsia="仿宋"/>
                <w:sz w:val="32"/>
                <w:szCs w:val="32"/>
              </w:rPr>
            </w:pPr>
            <w:r>
              <w:rPr>
                <w:rFonts w:hint="eastAsia" w:ascii="仿宋" w:hAnsi="仿宋" w:eastAsia="仿宋"/>
                <w:sz w:val="32"/>
                <w:szCs w:val="32"/>
              </w:rPr>
              <w:t>6</w:t>
            </w:r>
          </w:p>
        </w:tc>
        <w:tc>
          <w:tcPr>
            <w:tcW w:w="3363" w:type="dxa"/>
            <w:noWrap w:val="0"/>
            <w:vAlign w:val="center"/>
          </w:tcPr>
          <w:p>
            <w:pPr>
              <w:pStyle w:val="5"/>
              <w:spacing w:before="0" w:beforeAutospacing="0" w:after="0" w:afterAutospacing="0" w:line="600" w:lineRule="exact"/>
              <w:jc w:val="center"/>
              <w:rPr>
                <w:rFonts w:hint="eastAsia" w:ascii="仿宋" w:hAnsi="仿宋" w:eastAsia="仿宋"/>
                <w:sz w:val="32"/>
                <w:szCs w:val="32"/>
              </w:rPr>
            </w:pPr>
            <w:r>
              <w:rPr>
                <w:rFonts w:hint="eastAsia" w:ascii="仿宋" w:hAnsi="仿宋" w:eastAsia="仿宋"/>
                <w:sz w:val="32"/>
                <w:szCs w:val="32"/>
              </w:rPr>
              <w:t>红砖石棉瓦</w:t>
            </w:r>
          </w:p>
        </w:tc>
        <w:tc>
          <w:tcPr>
            <w:tcW w:w="1411" w:type="dxa"/>
            <w:noWrap w:val="0"/>
            <w:vAlign w:val="center"/>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w:t>
            </w:r>
          </w:p>
        </w:tc>
        <w:tc>
          <w:tcPr>
            <w:tcW w:w="1637" w:type="dxa"/>
            <w:noWrap w:val="0"/>
            <w:vAlign w:val="center"/>
          </w:tcPr>
          <w:p>
            <w:pPr>
              <w:pStyle w:val="5"/>
              <w:spacing w:before="0" w:beforeAutospacing="0" w:after="0" w:afterAutospacing="0" w:line="600" w:lineRule="exact"/>
              <w:jc w:val="center"/>
              <w:rPr>
                <w:rFonts w:hint="eastAsia" w:ascii="仿宋" w:hAnsi="仿宋" w:eastAsia="仿宋"/>
                <w:sz w:val="32"/>
                <w:szCs w:val="32"/>
              </w:rPr>
            </w:pPr>
            <w:r>
              <w:rPr>
                <w:rFonts w:hint="eastAsia" w:ascii="仿宋" w:hAnsi="仿宋" w:eastAsia="仿宋"/>
                <w:sz w:val="32"/>
                <w:szCs w:val="32"/>
              </w:rPr>
              <w:t>450</w:t>
            </w:r>
          </w:p>
        </w:tc>
        <w:tc>
          <w:tcPr>
            <w:tcW w:w="2103" w:type="dxa"/>
            <w:noWrap w:val="0"/>
            <w:vAlign w:val="center"/>
          </w:tcPr>
          <w:p>
            <w:pPr>
              <w:spacing w:line="300" w:lineRule="exact"/>
              <w:jc w:val="center"/>
              <w:rPr>
                <w:rFonts w:hint="eastAsia" w:ascii="仿宋" w:hAnsi="仿宋" w:eastAsia="仿宋"/>
                <w:sz w:val="28"/>
                <w:szCs w:val="28"/>
              </w:rPr>
            </w:pPr>
            <w:r>
              <w:rPr>
                <w:rFonts w:hint="eastAsia" w:ascii="仿宋" w:hAnsi="仿宋" w:eastAsia="仿宋"/>
                <w:sz w:val="28"/>
                <w:szCs w:val="28"/>
              </w:rPr>
              <w:t>基础</w:t>
            </w:r>
          </w:p>
        </w:tc>
      </w:tr>
    </w:tbl>
    <w:p>
      <w:pPr>
        <w:pStyle w:val="5"/>
        <w:spacing w:before="0" w:beforeAutospacing="0" w:after="0" w:afterAutospacing="0" w:line="600" w:lineRule="exact"/>
        <w:ind w:firstLine="630"/>
        <w:outlineLvl w:val="0"/>
        <w:rPr>
          <w:rFonts w:hint="eastAsia" w:ascii="黑体" w:hAnsi="黑体" w:eastAsia="黑体" w:cs="黑体"/>
          <w:sz w:val="32"/>
          <w:szCs w:val="32"/>
        </w:rPr>
      </w:pPr>
      <w:bookmarkStart w:id="34" w:name="_Toc2037"/>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三</w:t>
      </w:r>
      <w:r>
        <w:rPr>
          <w:rFonts w:hint="eastAsia" w:ascii="黑体" w:hAnsi="黑体" w:eastAsia="黑体" w:cs="黑体"/>
          <w:sz w:val="32"/>
          <w:szCs w:val="32"/>
          <w:lang w:eastAsia="zh-CN"/>
        </w:rPr>
        <w:t>）</w:t>
      </w:r>
      <w:r>
        <w:rPr>
          <w:rFonts w:hint="eastAsia" w:ascii="黑体" w:hAnsi="黑体" w:eastAsia="黑体" w:cs="黑体"/>
          <w:sz w:val="32"/>
          <w:szCs w:val="32"/>
        </w:rPr>
        <w:t>农业生产设施及构筑物</w:t>
      </w:r>
      <w:bookmarkEnd w:id="34"/>
    </w:p>
    <w:p>
      <w:pPr>
        <w:pStyle w:val="5"/>
        <w:spacing w:before="0" w:beforeAutospacing="0" w:after="0" w:afterAutospacing="0" w:line="600" w:lineRule="exact"/>
        <w:ind w:firstLine="630"/>
        <w:rPr>
          <w:rFonts w:ascii="仿宋" w:hAnsi="仿宋" w:eastAsia="仿宋"/>
          <w:sz w:val="32"/>
          <w:szCs w:val="32"/>
        </w:rPr>
      </w:pPr>
      <w:r>
        <w:rPr>
          <w:rFonts w:hint="eastAsia" w:ascii="仿宋" w:hAnsi="仿宋" w:eastAsia="仿宋"/>
          <w:sz w:val="32"/>
          <w:szCs w:val="32"/>
        </w:rPr>
        <w:t>估价对象建筑物成本价值单价评估表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2943"/>
        <w:gridCol w:w="1852"/>
        <w:gridCol w:w="1906"/>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8" w:type="dxa"/>
            <w:noWrap w:val="0"/>
            <w:vAlign w:val="center"/>
          </w:tcPr>
          <w:p>
            <w:pPr>
              <w:pStyle w:val="5"/>
              <w:spacing w:before="0" w:beforeAutospacing="0" w:after="0" w:afterAutospacing="0" w:line="300" w:lineRule="exact"/>
              <w:jc w:val="center"/>
              <w:rPr>
                <w:rFonts w:ascii="仿宋" w:hAnsi="仿宋" w:eastAsia="仿宋"/>
                <w:b/>
                <w:sz w:val="28"/>
                <w:szCs w:val="28"/>
              </w:rPr>
            </w:pPr>
            <w:r>
              <w:rPr>
                <w:rFonts w:hint="eastAsia" w:ascii="仿宋" w:hAnsi="仿宋" w:eastAsia="仿宋"/>
                <w:b/>
                <w:sz w:val="28"/>
                <w:szCs w:val="28"/>
              </w:rPr>
              <w:t>序号</w:t>
            </w:r>
          </w:p>
        </w:tc>
        <w:tc>
          <w:tcPr>
            <w:tcW w:w="2943" w:type="dxa"/>
            <w:noWrap w:val="0"/>
            <w:vAlign w:val="center"/>
          </w:tcPr>
          <w:p>
            <w:pPr>
              <w:pStyle w:val="5"/>
              <w:spacing w:before="0" w:beforeAutospacing="0" w:after="0" w:afterAutospacing="0" w:line="300" w:lineRule="exact"/>
              <w:jc w:val="center"/>
              <w:rPr>
                <w:rFonts w:ascii="仿宋" w:hAnsi="仿宋" w:eastAsia="仿宋"/>
                <w:b/>
                <w:sz w:val="28"/>
                <w:szCs w:val="28"/>
              </w:rPr>
            </w:pPr>
            <w:r>
              <w:rPr>
                <w:rFonts w:hint="eastAsia" w:ascii="仿宋" w:hAnsi="仿宋" w:eastAsia="仿宋"/>
                <w:b/>
                <w:sz w:val="28"/>
                <w:szCs w:val="28"/>
              </w:rPr>
              <w:t>项目名称</w:t>
            </w:r>
          </w:p>
        </w:tc>
        <w:tc>
          <w:tcPr>
            <w:tcW w:w="1852" w:type="dxa"/>
            <w:noWrap w:val="0"/>
            <w:vAlign w:val="center"/>
          </w:tcPr>
          <w:p>
            <w:pPr>
              <w:pStyle w:val="5"/>
              <w:spacing w:before="0" w:beforeAutospacing="0" w:after="0" w:afterAutospacing="0" w:line="300" w:lineRule="exact"/>
              <w:jc w:val="center"/>
              <w:rPr>
                <w:rFonts w:ascii="仿宋" w:hAnsi="仿宋" w:eastAsia="仿宋"/>
                <w:b/>
                <w:sz w:val="28"/>
                <w:szCs w:val="28"/>
              </w:rPr>
            </w:pPr>
            <w:r>
              <w:rPr>
                <w:rFonts w:hint="eastAsia" w:ascii="仿宋" w:hAnsi="仿宋" w:eastAsia="仿宋"/>
                <w:b/>
                <w:sz w:val="28"/>
                <w:szCs w:val="28"/>
              </w:rPr>
              <w:t>单位</w:t>
            </w:r>
          </w:p>
        </w:tc>
        <w:tc>
          <w:tcPr>
            <w:tcW w:w="1906" w:type="dxa"/>
            <w:noWrap w:val="0"/>
            <w:vAlign w:val="center"/>
          </w:tcPr>
          <w:p>
            <w:pPr>
              <w:pStyle w:val="5"/>
              <w:spacing w:before="0" w:beforeAutospacing="0" w:after="0" w:afterAutospacing="0" w:line="300" w:lineRule="exact"/>
              <w:jc w:val="center"/>
              <w:rPr>
                <w:rFonts w:ascii="仿宋" w:hAnsi="仿宋" w:eastAsia="仿宋"/>
                <w:b/>
                <w:sz w:val="28"/>
                <w:szCs w:val="28"/>
              </w:rPr>
            </w:pPr>
            <w:r>
              <w:rPr>
                <w:rFonts w:hint="eastAsia" w:ascii="仿宋" w:hAnsi="仿宋" w:eastAsia="仿宋"/>
                <w:b/>
                <w:sz w:val="28"/>
                <w:szCs w:val="28"/>
              </w:rPr>
              <w:t>单价（元）</w:t>
            </w:r>
          </w:p>
        </w:tc>
        <w:tc>
          <w:tcPr>
            <w:tcW w:w="1853" w:type="dxa"/>
            <w:noWrap w:val="0"/>
            <w:vAlign w:val="center"/>
          </w:tcPr>
          <w:p>
            <w:pPr>
              <w:pStyle w:val="5"/>
              <w:spacing w:before="0" w:beforeAutospacing="0" w:after="0" w:afterAutospacing="0" w:line="300" w:lineRule="exact"/>
              <w:jc w:val="center"/>
              <w:rPr>
                <w:rFonts w:ascii="仿宋" w:hAnsi="仿宋" w:eastAsia="仿宋"/>
                <w:b/>
                <w:sz w:val="28"/>
                <w:szCs w:val="28"/>
              </w:rPr>
            </w:pPr>
            <w:r>
              <w:rPr>
                <w:rFonts w:hint="eastAsia" w:ascii="仿宋" w:hAnsi="仿宋" w:eastAsia="仿宋"/>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8"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1</w:t>
            </w:r>
          </w:p>
        </w:tc>
        <w:tc>
          <w:tcPr>
            <w:tcW w:w="2943" w:type="dxa"/>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sz w:val="28"/>
                <w:szCs w:val="28"/>
              </w:rPr>
              <w:t>简易结构（红砖铁皮瓦）房屋、简易棚房、灰间、杂物间、栏舍</w:t>
            </w:r>
          </w:p>
        </w:tc>
        <w:tc>
          <w:tcPr>
            <w:tcW w:w="1852"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w:t>
            </w:r>
          </w:p>
        </w:tc>
        <w:tc>
          <w:tcPr>
            <w:tcW w:w="1906"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250</w:t>
            </w:r>
          </w:p>
        </w:tc>
        <w:tc>
          <w:tcPr>
            <w:tcW w:w="1853" w:type="dxa"/>
            <w:noWrap w:val="0"/>
            <w:vAlign w:val="center"/>
          </w:tcPr>
          <w:p>
            <w:pPr>
              <w:spacing w:line="300" w:lineRule="exact"/>
              <w:jc w:val="center"/>
              <w:rPr>
                <w:rFonts w:ascii="仿宋" w:hAnsi="仿宋" w:eastAsia="仿宋"/>
                <w:sz w:val="28"/>
                <w:szCs w:val="28"/>
              </w:rPr>
            </w:pPr>
            <w:r>
              <w:rPr>
                <w:rFonts w:hint="eastAsia" w:ascii="仿宋" w:hAnsi="仿宋" w:eastAsia="仿宋"/>
                <w:sz w:val="28"/>
                <w:szCs w:val="28"/>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8"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2</w:t>
            </w:r>
          </w:p>
        </w:tc>
        <w:tc>
          <w:tcPr>
            <w:tcW w:w="2943" w:type="dxa"/>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sz w:val="28"/>
                <w:szCs w:val="28"/>
              </w:rPr>
              <w:t>无砖（角铁、铜管）铁皮瓦房</w:t>
            </w:r>
          </w:p>
        </w:tc>
        <w:tc>
          <w:tcPr>
            <w:tcW w:w="1852"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w:t>
            </w:r>
          </w:p>
        </w:tc>
        <w:tc>
          <w:tcPr>
            <w:tcW w:w="1906"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170</w:t>
            </w:r>
          </w:p>
        </w:tc>
        <w:tc>
          <w:tcPr>
            <w:tcW w:w="1853" w:type="dxa"/>
            <w:noWrap w:val="0"/>
            <w:vAlign w:val="center"/>
          </w:tcPr>
          <w:p>
            <w:pPr>
              <w:spacing w:line="300" w:lineRule="exact"/>
              <w:jc w:val="center"/>
              <w:rPr>
                <w:rFonts w:ascii="仿宋" w:hAnsi="仿宋" w:eastAsia="仿宋"/>
                <w:sz w:val="28"/>
                <w:szCs w:val="28"/>
              </w:rPr>
            </w:pPr>
            <w:r>
              <w:rPr>
                <w:rFonts w:hint="eastAsia" w:ascii="仿宋" w:hAnsi="仿宋" w:eastAsia="仿宋"/>
                <w:sz w:val="28"/>
                <w:szCs w:val="28"/>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8"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3</w:t>
            </w:r>
          </w:p>
        </w:tc>
        <w:tc>
          <w:tcPr>
            <w:tcW w:w="2943" w:type="dxa"/>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sz w:val="28"/>
                <w:szCs w:val="28"/>
              </w:rPr>
              <w:t>简易养殖场（竹木瓦结构、外墙围护结构砌砖1M以下）</w:t>
            </w:r>
          </w:p>
        </w:tc>
        <w:tc>
          <w:tcPr>
            <w:tcW w:w="1852" w:type="dxa"/>
            <w:noWrap w:val="0"/>
            <w:vAlign w:val="center"/>
          </w:tcPr>
          <w:p>
            <w:pPr>
              <w:jc w:val="center"/>
            </w:pPr>
            <w:r>
              <w:rPr>
                <w:rFonts w:hint="eastAsia" w:ascii="仿宋" w:hAnsi="仿宋" w:eastAsia="仿宋"/>
                <w:sz w:val="28"/>
                <w:szCs w:val="28"/>
              </w:rPr>
              <w:t>㎡</w:t>
            </w:r>
          </w:p>
        </w:tc>
        <w:tc>
          <w:tcPr>
            <w:tcW w:w="1906"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200</w:t>
            </w:r>
          </w:p>
        </w:tc>
        <w:tc>
          <w:tcPr>
            <w:tcW w:w="1853" w:type="dxa"/>
            <w:noWrap w:val="0"/>
            <w:vAlign w:val="center"/>
          </w:tcPr>
          <w:p>
            <w:pPr>
              <w:spacing w:line="300" w:lineRule="exact"/>
              <w:jc w:val="center"/>
              <w:rPr>
                <w:rFonts w:ascii="仿宋" w:hAnsi="仿宋" w:eastAsia="仿宋"/>
                <w:sz w:val="28"/>
                <w:szCs w:val="28"/>
              </w:rPr>
            </w:pPr>
            <w:r>
              <w:rPr>
                <w:rFonts w:hint="eastAsia" w:ascii="仿宋" w:hAnsi="仿宋" w:eastAsia="仿宋"/>
                <w:sz w:val="28"/>
                <w:szCs w:val="28"/>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8"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4</w:t>
            </w:r>
          </w:p>
        </w:tc>
        <w:tc>
          <w:tcPr>
            <w:tcW w:w="2943" w:type="dxa"/>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sz w:val="28"/>
                <w:szCs w:val="28"/>
              </w:rPr>
              <w:t>简易养殖场（砖木瓦结构、外墙围护结构砌砖1M以下）</w:t>
            </w:r>
          </w:p>
        </w:tc>
        <w:tc>
          <w:tcPr>
            <w:tcW w:w="1852" w:type="dxa"/>
            <w:noWrap w:val="0"/>
            <w:vAlign w:val="center"/>
          </w:tcPr>
          <w:p>
            <w:pPr>
              <w:jc w:val="center"/>
            </w:pPr>
            <w:r>
              <w:rPr>
                <w:rFonts w:hint="eastAsia" w:ascii="仿宋" w:hAnsi="仿宋" w:eastAsia="仿宋"/>
                <w:sz w:val="28"/>
                <w:szCs w:val="28"/>
              </w:rPr>
              <w:t>㎡</w:t>
            </w:r>
          </w:p>
        </w:tc>
        <w:tc>
          <w:tcPr>
            <w:tcW w:w="1906"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350</w:t>
            </w:r>
          </w:p>
        </w:tc>
        <w:tc>
          <w:tcPr>
            <w:tcW w:w="1853" w:type="dxa"/>
            <w:noWrap w:val="0"/>
            <w:vAlign w:val="center"/>
          </w:tcPr>
          <w:p>
            <w:pPr>
              <w:spacing w:line="300" w:lineRule="exact"/>
              <w:jc w:val="center"/>
              <w:rPr>
                <w:rFonts w:ascii="仿宋" w:hAnsi="仿宋" w:eastAsia="仿宋"/>
                <w:sz w:val="28"/>
                <w:szCs w:val="28"/>
              </w:rPr>
            </w:pPr>
            <w:r>
              <w:rPr>
                <w:rFonts w:hint="eastAsia" w:ascii="仿宋" w:hAnsi="仿宋" w:eastAsia="仿宋"/>
                <w:sz w:val="28"/>
                <w:szCs w:val="28"/>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8"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5</w:t>
            </w:r>
          </w:p>
        </w:tc>
        <w:tc>
          <w:tcPr>
            <w:tcW w:w="2943" w:type="dxa"/>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sz w:val="28"/>
                <w:szCs w:val="28"/>
              </w:rPr>
              <w:t>标准养殖场（框架结构、外墙围护结构砌砖1M以上、水泥砂浆地面、水电设备齐全、排水排污设施配套）</w:t>
            </w:r>
          </w:p>
        </w:tc>
        <w:tc>
          <w:tcPr>
            <w:tcW w:w="1852" w:type="dxa"/>
            <w:noWrap w:val="0"/>
            <w:vAlign w:val="center"/>
          </w:tcPr>
          <w:p>
            <w:pPr>
              <w:jc w:val="center"/>
            </w:pPr>
            <w:r>
              <w:rPr>
                <w:rFonts w:hint="eastAsia" w:ascii="仿宋" w:hAnsi="仿宋" w:eastAsia="仿宋"/>
                <w:sz w:val="28"/>
                <w:szCs w:val="28"/>
              </w:rPr>
              <w:t>㎡</w:t>
            </w:r>
          </w:p>
        </w:tc>
        <w:tc>
          <w:tcPr>
            <w:tcW w:w="1906" w:type="dxa"/>
            <w:noWrap w:val="0"/>
            <w:vAlign w:val="center"/>
          </w:tcPr>
          <w:p>
            <w:pPr>
              <w:pStyle w:val="5"/>
              <w:spacing w:before="0" w:beforeAutospacing="0" w:after="0" w:afterAutospacing="0" w:line="300" w:lineRule="exact"/>
              <w:jc w:val="center"/>
              <w:rPr>
                <w:rFonts w:hint="eastAsia" w:ascii="仿宋" w:hAnsi="仿宋" w:eastAsia="仿宋"/>
                <w:sz w:val="28"/>
                <w:szCs w:val="28"/>
              </w:rPr>
            </w:pPr>
            <w:r>
              <w:rPr>
                <w:rFonts w:hint="eastAsia" w:ascii="仿宋" w:hAnsi="仿宋" w:eastAsia="仿宋"/>
                <w:sz w:val="28"/>
                <w:szCs w:val="28"/>
              </w:rPr>
              <w:t>500</w:t>
            </w:r>
          </w:p>
        </w:tc>
        <w:tc>
          <w:tcPr>
            <w:tcW w:w="1853" w:type="dxa"/>
            <w:noWrap w:val="0"/>
            <w:vAlign w:val="center"/>
          </w:tcPr>
          <w:p>
            <w:pPr>
              <w:spacing w:line="300" w:lineRule="exact"/>
              <w:jc w:val="center"/>
              <w:rPr>
                <w:rFonts w:ascii="仿宋" w:hAnsi="仿宋" w:eastAsia="仿宋"/>
                <w:sz w:val="28"/>
                <w:szCs w:val="28"/>
              </w:rPr>
            </w:pPr>
            <w:r>
              <w:rPr>
                <w:rFonts w:hint="eastAsia" w:ascii="仿宋" w:hAnsi="仿宋" w:eastAsia="仿宋"/>
                <w:sz w:val="28"/>
                <w:szCs w:val="28"/>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8"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6</w:t>
            </w:r>
          </w:p>
        </w:tc>
        <w:tc>
          <w:tcPr>
            <w:tcW w:w="2943" w:type="dxa"/>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sz w:val="28"/>
                <w:szCs w:val="28"/>
              </w:rPr>
              <w:t>标准养殖场（混合结构、外墙围护结构砌砖1M以上、水泥砂浆地面、水电设备齐全、排水排污设施配套）</w:t>
            </w:r>
          </w:p>
        </w:tc>
        <w:tc>
          <w:tcPr>
            <w:tcW w:w="1852" w:type="dxa"/>
            <w:noWrap w:val="0"/>
            <w:vAlign w:val="center"/>
          </w:tcPr>
          <w:p>
            <w:pPr>
              <w:jc w:val="center"/>
            </w:pPr>
            <w:r>
              <w:rPr>
                <w:rFonts w:hint="eastAsia" w:ascii="仿宋" w:hAnsi="仿宋" w:eastAsia="仿宋"/>
                <w:sz w:val="28"/>
                <w:szCs w:val="28"/>
              </w:rPr>
              <w:t>㎡</w:t>
            </w:r>
          </w:p>
        </w:tc>
        <w:tc>
          <w:tcPr>
            <w:tcW w:w="1906"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850</w:t>
            </w:r>
          </w:p>
        </w:tc>
        <w:tc>
          <w:tcPr>
            <w:tcW w:w="1853" w:type="dxa"/>
            <w:noWrap w:val="0"/>
            <w:vAlign w:val="center"/>
          </w:tcPr>
          <w:p>
            <w:pPr>
              <w:spacing w:line="300" w:lineRule="exact"/>
              <w:jc w:val="center"/>
              <w:rPr>
                <w:rFonts w:ascii="仿宋" w:hAnsi="仿宋" w:eastAsia="仿宋"/>
                <w:sz w:val="28"/>
                <w:szCs w:val="28"/>
              </w:rPr>
            </w:pPr>
            <w:r>
              <w:rPr>
                <w:rFonts w:hint="eastAsia" w:ascii="仿宋" w:hAnsi="仿宋" w:eastAsia="仿宋"/>
                <w:sz w:val="28"/>
                <w:szCs w:val="28"/>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8"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7</w:t>
            </w:r>
          </w:p>
        </w:tc>
        <w:tc>
          <w:tcPr>
            <w:tcW w:w="2943" w:type="dxa"/>
            <w:noWrap w:val="0"/>
            <w:vAlign w:val="center"/>
          </w:tcPr>
          <w:p>
            <w:pPr>
              <w:pStyle w:val="5"/>
              <w:spacing w:before="0" w:beforeAutospacing="0" w:after="0" w:afterAutospacing="0" w:line="300" w:lineRule="exact"/>
              <w:rPr>
                <w:rFonts w:ascii="仿宋" w:hAnsi="仿宋" w:eastAsia="仿宋"/>
                <w:sz w:val="28"/>
                <w:szCs w:val="28"/>
              </w:rPr>
            </w:pPr>
            <w:r>
              <w:rPr>
                <w:rFonts w:hint="eastAsia" w:ascii="仿宋" w:hAnsi="仿宋" w:eastAsia="仿宋"/>
                <w:sz w:val="28"/>
                <w:szCs w:val="28"/>
              </w:rPr>
              <w:t>标准养殖场（砖木瓦结构、外墙围护结构砌砖1M以上、水泥砂浆地面、水电设备齐全、排水排污设施配套）</w:t>
            </w:r>
          </w:p>
        </w:tc>
        <w:tc>
          <w:tcPr>
            <w:tcW w:w="1852" w:type="dxa"/>
            <w:noWrap w:val="0"/>
            <w:vAlign w:val="center"/>
          </w:tcPr>
          <w:p>
            <w:pPr>
              <w:jc w:val="center"/>
            </w:pPr>
            <w:r>
              <w:rPr>
                <w:rFonts w:hint="eastAsia" w:ascii="仿宋" w:hAnsi="仿宋" w:eastAsia="仿宋"/>
                <w:sz w:val="28"/>
                <w:szCs w:val="28"/>
              </w:rPr>
              <w:t>㎡</w:t>
            </w:r>
          </w:p>
        </w:tc>
        <w:tc>
          <w:tcPr>
            <w:tcW w:w="1906" w:type="dxa"/>
            <w:noWrap w:val="0"/>
            <w:vAlign w:val="center"/>
          </w:tcPr>
          <w:p>
            <w:pPr>
              <w:pStyle w:val="5"/>
              <w:spacing w:before="0" w:beforeAutospacing="0" w:after="0" w:afterAutospacing="0" w:line="300" w:lineRule="exact"/>
              <w:jc w:val="center"/>
              <w:rPr>
                <w:rFonts w:ascii="仿宋" w:hAnsi="仿宋" w:eastAsia="仿宋"/>
                <w:sz w:val="28"/>
                <w:szCs w:val="28"/>
              </w:rPr>
            </w:pPr>
            <w:r>
              <w:rPr>
                <w:rFonts w:hint="eastAsia" w:ascii="仿宋" w:hAnsi="仿宋" w:eastAsia="仿宋"/>
                <w:sz w:val="28"/>
                <w:szCs w:val="28"/>
              </w:rPr>
              <w:t>900</w:t>
            </w:r>
          </w:p>
        </w:tc>
        <w:tc>
          <w:tcPr>
            <w:tcW w:w="1853" w:type="dxa"/>
            <w:noWrap w:val="0"/>
            <w:vAlign w:val="center"/>
          </w:tcPr>
          <w:p>
            <w:pPr>
              <w:spacing w:line="300" w:lineRule="exact"/>
              <w:jc w:val="center"/>
              <w:rPr>
                <w:rFonts w:ascii="仿宋" w:hAnsi="仿宋" w:eastAsia="仿宋"/>
                <w:sz w:val="28"/>
                <w:szCs w:val="28"/>
              </w:rPr>
            </w:pPr>
            <w:r>
              <w:rPr>
                <w:rFonts w:hint="eastAsia" w:ascii="仿宋" w:hAnsi="仿宋" w:eastAsia="仿宋"/>
                <w:sz w:val="28"/>
                <w:szCs w:val="28"/>
              </w:rPr>
              <w:t>基础</w:t>
            </w:r>
          </w:p>
        </w:tc>
      </w:tr>
    </w:tbl>
    <w:p>
      <w:pPr>
        <w:pStyle w:val="5"/>
        <w:spacing w:before="0" w:beforeAutospacing="0" w:after="0" w:afterAutospacing="0" w:line="600" w:lineRule="exact"/>
        <w:ind w:firstLine="630"/>
        <w:outlineLvl w:val="0"/>
        <w:rPr>
          <w:rFonts w:hint="eastAsia" w:ascii="黑体" w:hAnsi="黑体" w:eastAsia="黑体" w:cs="黑体"/>
          <w:sz w:val="32"/>
          <w:szCs w:val="32"/>
        </w:rPr>
      </w:pPr>
      <w:bookmarkStart w:id="35" w:name="_Toc26045"/>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四</w:t>
      </w:r>
      <w:r>
        <w:rPr>
          <w:rFonts w:hint="eastAsia" w:ascii="黑体" w:hAnsi="黑体" w:eastAsia="黑体" w:cs="黑体"/>
          <w:sz w:val="32"/>
          <w:szCs w:val="32"/>
          <w:lang w:eastAsia="zh-CN"/>
        </w:rPr>
        <w:t>）</w:t>
      </w:r>
      <w:r>
        <w:rPr>
          <w:rFonts w:hint="eastAsia" w:ascii="黑体" w:hAnsi="黑体" w:eastAsia="黑体" w:cs="黑体"/>
          <w:sz w:val="32"/>
          <w:szCs w:val="32"/>
        </w:rPr>
        <w:t>构筑物及房屋附属物价值单价评估表</w:t>
      </w:r>
      <w:bookmarkEnd w:id="35"/>
    </w:p>
    <w:p>
      <w:pPr>
        <w:pStyle w:val="5"/>
        <w:spacing w:before="0" w:beforeAutospacing="0" w:after="0" w:afterAutospacing="0" w:line="600" w:lineRule="exact"/>
        <w:ind w:firstLine="630"/>
        <w:rPr>
          <w:rFonts w:ascii="仿宋" w:hAnsi="仿宋" w:eastAsia="仿宋"/>
          <w:sz w:val="32"/>
          <w:szCs w:val="32"/>
        </w:rPr>
      </w:pPr>
      <w:r>
        <w:rPr>
          <w:rFonts w:hint="eastAsia" w:ascii="仿宋" w:hAnsi="仿宋" w:eastAsia="仿宋"/>
          <w:sz w:val="32"/>
          <w:szCs w:val="32"/>
        </w:rPr>
        <w:t>（以下所列各项均包含人工费、材料费、辅料）</w:t>
      </w:r>
    </w:p>
    <w:tbl>
      <w:tblPr>
        <w:tblStyle w:val="6"/>
        <w:tblW w:w="95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4864"/>
        <w:gridCol w:w="1094"/>
        <w:gridCol w:w="1725"/>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ascii="仿宋" w:hAnsi="仿宋" w:eastAsia="仿宋"/>
                <w:b/>
                <w:sz w:val="28"/>
                <w:szCs w:val="28"/>
              </w:rPr>
            </w:pPr>
            <w:r>
              <w:rPr>
                <w:rFonts w:hint="eastAsia" w:ascii="仿宋" w:hAnsi="仿宋" w:eastAsia="仿宋"/>
                <w:b/>
                <w:sz w:val="28"/>
                <w:szCs w:val="28"/>
              </w:rPr>
              <w:t>序号</w:t>
            </w:r>
          </w:p>
        </w:tc>
        <w:tc>
          <w:tcPr>
            <w:tcW w:w="4864" w:type="dxa"/>
            <w:noWrap w:val="0"/>
            <w:vAlign w:val="top"/>
          </w:tcPr>
          <w:p>
            <w:pPr>
              <w:pStyle w:val="5"/>
              <w:spacing w:before="0" w:beforeAutospacing="0" w:after="0" w:afterAutospacing="0" w:line="600" w:lineRule="exact"/>
              <w:jc w:val="center"/>
              <w:rPr>
                <w:rFonts w:ascii="仿宋" w:hAnsi="仿宋" w:eastAsia="仿宋"/>
                <w:b/>
                <w:sz w:val="28"/>
                <w:szCs w:val="28"/>
              </w:rPr>
            </w:pPr>
            <w:r>
              <w:rPr>
                <w:rFonts w:hint="eastAsia" w:ascii="仿宋" w:hAnsi="仿宋" w:eastAsia="仿宋"/>
                <w:b/>
                <w:sz w:val="28"/>
                <w:szCs w:val="28"/>
              </w:rPr>
              <w:t>项目名称</w:t>
            </w:r>
          </w:p>
        </w:tc>
        <w:tc>
          <w:tcPr>
            <w:tcW w:w="1094" w:type="dxa"/>
            <w:noWrap w:val="0"/>
            <w:vAlign w:val="top"/>
          </w:tcPr>
          <w:p>
            <w:pPr>
              <w:pStyle w:val="5"/>
              <w:spacing w:before="0" w:beforeAutospacing="0" w:after="0" w:afterAutospacing="0" w:line="600" w:lineRule="exact"/>
              <w:jc w:val="center"/>
              <w:rPr>
                <w:rFonts w:ascii="仿宋" w:hAnsi="仿宋" w:eastAsia="仿宋"/>
                <w:b/>
                <w:sz w:val="28"/>
                <w:szCs w:val="28"/>
              </w:rPr>
            </w:pPr>
            <w:r>
              <w:rPr>
                <w:rFonts w:hint="eastAsia" w:ascii="仿宋" w:hAnsi="仿宋" w:eastAsia="仿宋"/>
                <w:b/>
                <w:sz w:val="28"/>
                <w:szCs w:val="28"/>
              </w:rPr>
              <w:t>单位</w:t>
            </w:r>
          </w:p>
        </w:tc>
        <w:tc>
          <w:tcPr>
            <w:tcW w:w="1725" w:type="dxa"/>
            <w:noWrap w:val="0"/>
            <w:vAlign w:val="top"/>
          </w:tcPr>
          <w:p>
            <w:pPr>
              <w:pStyle w:val="5"/>
              <w:spacing w:before="0" w:beforeAutospacing="0" w:after="0" w:afterAutospacing="0" w:line="600" w:lineRule="exact"/>
              <w:jc w:val="center"/>
              <w:rPr>
                <w:rFonts w:ascii="仿宋" w:hAnsi="仿宋" w:eastAsia="仿宋"/>
                <w:b/>
                <w:sz w:val="28"/>
                <w:szCs w:val="28"/>
              </w:rPr>
            </w:pPr>
            <w:r>
              <w:rPr>
                <w:rFonts w:hint="eastAsia" w:ascii="仿宋" w:hAnsi="仿宋" w:eastAsia="仿宋"/>
                <w:b/>
                <w:sz w:val="28"/>
                <w:szCs w:val="28"/>
              </w:rPr>
              <w:t>单价（元）</w:t>
            </w:r>
          </w:p>
        </w:tc>
        <w:tc>
          <w:tcPr>
            <w:tcW w:w="975" w:type="dxa"/>
            <w:noWrap w:val="0"/>
            <w:vAlign w:val="top"/>
          </w:tcPr>
          <w:p>
            <w:pPr>
              <w:pStyle w:val="5"/>
              <w:spacing w:before="0" w:beforeAutospacing="0" w:after="0" w:afterAutospacing="0" w:line="600" w:lineRule="exact"/>
              <w:jc w:val="center"/>
              <w:rPr>
                <w:rFonts w:ascii="仿宋" w:hAnsi="仿宋" w:eastAsia="仿宋"/>
                <w:b/>
                <w:sz w:val="28"/>
                <w:szCs w:val="28"/>
              </w:rPr>
            </w:pPr>
            <w:r>
              <w:rPr>
                <w:rFonts w:hint="eastAsia" w:ascii="仿宋" w:hAnsi="仿宋" w:eastAsia="仿宋"/>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（单砖）砖墙、围墙（未批档）</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125</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2</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（单砖）砖墙、围墙（已批档）</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145</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3</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（18墙）砖墙、围墙（未批档）</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155</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4</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（18墙）砖墙、围墙（已批档）</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180-220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5</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砖石房屋基础（按建基面积计）</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200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6</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毛石挡土墙</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250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7</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普通门楼（宽2米以内）</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2000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8</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门楼（宽2米内、高2米）</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3000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9</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门楼（宽2.5米内、高2米）</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5000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10</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门楼（宽3米内、高2米）</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7500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11</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门楼（宽3米以上、高2米）</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10000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12</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水井（按容积计）</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300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13</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泥井（限5㎡以内）</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100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14</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手摇井（可使用）</w:t>
            </w:r>
          </w:p>
        </w:tc>
        <w:tc>
          <w:tcPr>
            <w:tcW w:w="1094" w:type="dxa"/>
            <w:noWrap w:val="0"/>
            <w:vAlign w:val="top"/>
          </w:tcPr>
          <w:p>
            <w:pPr>
              <w:jc w:val="center"/>
            </w:pPr>
            <w:r>
              <w:rPr>
                <w:rFonts w:hint="eastAsia" w:ascii="仿宋" w:hAnsi="仿宋" w:eastAsia="仿宋"/>
                <w:sz w:val="28"/>
                <w:szCs w:val="28"/>
              </w:rPr>
              <w:t>口</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1000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15</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晒坪</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45</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16</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天井</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50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17</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木</w:t>
            </w:r>
            <w:r>
              <w:rPr>
                <w:rFonts w:ascii="仿宋" w:hAnsi="仿宋" w:eastAsia="仿宋"/>
                <w:sz w:val="28"/>
                <w:szCs w:val="28"/>
              </w:rPr>
              <w:t>桁</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20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18</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木棚</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50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19</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化粪池</w:t>
            </w:r>
          </w:p>
        </w:tc>
        <w:tc>
          <w:tcPr>
            <w:tcW w:w="1094" w:type="dxa"/>
            <w:noWrap w:val="0"/>
            <w:vAlign w:val="top"/>
          </w:tcPr>
          <w:p>
            <w:pPr>
              <w:jc w:val="center"/>
            </w:pPr>
            <w:r>
              <w:rPr>
                <w:rFonts w:hint="eastAsia" w:ascii="仿宋" w:hAnsi="仿宋" w:eastAsia="仿宋"/>
                <w:sz w:val="28"/>
                <w:szCs w:val="28"/>
              </w:rPr>
              <w:t>套</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1000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20</w:t>
            </w:r>
          </w:p>
        </w:tc>
        <w:tc>
          <w:tcPr>
            <w:tcW w:w="4864" w:type="dxa"/>
            <w:noWrap w:val="0"/>
            <w:vAlign w:val="top"/>
          </w:tcPr>
          <w:p>
            <w:pPr>
              <w:pStyle w:val="5"/>
              <w:spacing w:before="0" w:beforeAutospacing="0" w:after="0" w:afterAutospacing="0" w:line="600" w:lineRule="exact"/>
              <w:rPr>
                <w:rFonts w:ascii="仿宋" w:hAnsi="仿宋" w:eastAsia="仿宋"/>
                <w:sz w:val="28"/>
                <w:szCs w:val="28"/>
              </w:rPr>
            </w:pPr>
            <w:r>
              <w:rPr>
                <w:rFonts w:hint="eastAsia" w:ascii="仿宋" w:hAnsi="仿宋" w:eastAsia="仿宋"/>
                <w:sz w:val="28"/>
                <w:szCs w:val="28"/>
              </w:rPr>
              <w:t>家用沼气池（已使用沼气能源）</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ascii="仿宋" w:hAnsi="仿宋" w:eastAsia="仿宋"/>
                <w:sz w:val="28"/>
                <w:szCs w:val="28"/>
              </w:rPr>
            </w:pPr>
            <w:r>
              <w:rPr>
                <w:rFonts w:hint="eastAsia" w:ascii="仿宋" w:hAnsi="仿宋" w:eastAsia="仿宋"/>
                <w:sz w:val="28"/>
                <w:szCs w:val="28"/>
              </w:rPr>
              <w:t>350</w:t>
            </w:r>
          </w:p>
        </w:tc>
        <w:tc>
          <w:tcPr>
            <w:tcW w:w="975" w:type="dxa"/>
            <w:noWrap w:val="0"/>
            <w:vAlign w:val="top"/>
          </w:tcPr>
          <w:p>
            <w:pPr>
              <w:pStyle w:val="5"/>
              <w:spacing w:before="0" w:beforeAutospacing="0" w:after="0" w:afterAutospacing="0"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21</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炉灶（水泥砂浆面）</w:t>
            </w:r>
          </w:p>
        </w:tc>
        <w:tc>
          <w:tcPr>
            <w:tcW w:w="1094" w:type="dxa"/>
            <w:noWrap w:val="0"/>
            <w:vAlign w:val="top"/>
          </w:tcPr>
          <w:p>
            <w:pPr>
              <w:jc w:val="center"/>
            </w:pPr>
            <w:r>
              <w:rPr>
                <w:rFonts w:hint="eastAsia" w:ascii="仿宋" w:hAnsi="仿宋" w:eastAsia="仿宋"/>
                <w:sz w:val="28"/>
                <w:szCs w:val="28"/>
              </w:rPr>
              <w:t>套</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22</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炉灶（瓷片贴面）</w:t>
            </w:r>
          </w:p>
        </w:tc>
        <w:tc>
          <w:tcPr>
            <w:tcW w:w="1094" w:type="dxa"/>
            <w:noWrap w:val="0"/>
            <w:vAlign w:val="top"/>
          </w:tcPr>
          <w:p>
            <w:pPr>
              <w:jc w:val="center"/>
            </w:pPr>
            <w:r>
              <w:rPr>
                <w:rFonts w:hint="eastAsia" w:ascii="仿宋" w:hAnsi="仿宋" w:eastAsia="仿宋"/>
                <w:sz w:val="28"/>
                <w:szCs w:val="28"/>
              </w:rPr>
              <w:t>套</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23</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炉灶（大理石贴面）</w:t>
            </w:r>
          </w:p>
        </w:tc>
        <w:tc>
          <w:tcPr>
            <w:tcW w:w="1094" w:type="dxa"/>
            <w:noWrap w:val="0"/>
            <w:vAlign w:val="top"/>
          </w:tcPr>
          <w:p>
            <w:pPr>
              <w:jc w:val="center"/>
            </w:pPr>
            <w:r>
              <w:rPr>
                <w:rFonts w:hint="eastAsia"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24</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花岗岩灶台（按灶台平面尺寸计）</w:t>
            </w:r>
          </w:p>
        </w:tc>
        <w:tc>
          <w:tcPr>
            <w:tcW w:w="1094" w:type="dxa"/>
            <w:noWrap w:val="0"/>
            <w:vAlign w:val="top"/>
          </w:tcPr>
          <w:p>
            <w:pPr>
              <w:jc w:val="center"/>
            </w:pPr>
            <w:r>
              <w:rPr>
                <w:rFonts w:hint="eastAsia"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25</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不锈钢楼梯栏杆扶手φ50</w:t>
            </w:r>
          </w:p>
        </w:tc>
        <w:tc>
          <w:tcPr>
            <w:tcW w:w="1094" w:type="dxa"/>
            <w:noWrap w:val="0"/>
            <w:vAlign w:val="top"/>
          </w:tcPr>
          <w:p>
            <w:pPr>
              <w:jc w:val="center"/>
            </w:pPr>
            <w:r>
              <w:rPr>
                <w:rFonts w:hint="eastAsia"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115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26</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不锈钢楼梯栏杆扶手φ63</w:t>
            </w:r>
          </w:p>
        </w:tc>
        <w:tc>
          <w:tcPr>
            <w:tcW w:w="1094" w:type="dxa"/>
            <w:noWrap w:val="0"/>
            <w:vAlign w:val="top"/>
          </w:tcPr>
          <w:p>
            <w:pPr>
              <w:jc w:val="center"/>
            </w:pPr>
            <w:r>
              <w:rPr>
                <w:rFonts w:hint="eastAsia"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125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27</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不锈钢楼梯栏杆扶手φ76</w:t>
            </w:r>
          </w:p>
        </w:tc>
        <w:tc>
          <w:tcPr>
            <w:tcW w:w="1094" w:type="dxa"/>
            <w:noWrap w:val="0"/>
            <w:vAlign w:val="top"/>
          </w:tcPr>
          <w:p>
            <w:pPr>
              <w:jc w:val="center"/>
            </w:pPr>
            <w:r>
              <w:rPr>
                <w:rFonts w:hint="eastAsia"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140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28</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镀锌管楼梯栏杆扶手</w:t>
            </w:r>
          </w:p>
        </w:tc>
        <w:tc>
          <w:tcPr>
            <w:tcW w:w="1094" w:type="dxa"/>
            <w:noWrap w:val="0"/>
            <w:vAlign w:val="top"/>
          </w:tcPr>
          <w:p>
            <w:pPr>
              <w:jc w:val="center"/>
            </w:pPr>
            <w:r>
              <w:rPr>
                <w:rFonts w:hint="eastAsia"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29</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圆铜楼梯栏杆扶手</w:t>
            </w:r>
          </w:p>
        </w:tc>
        <w:tc>
          <w:tcPr>
            <w:tcW w:w="1094" w:type="dxa"/>
            <w:noWrap w:val="0"/>
            <w:vAlign w:val="top"/>
          </w:tcPr>
          <w:p>
            <w:pPr>
              <w:jc w:val="center"/>
            </w:pPr>
            <w:r>
              <w:rPr>
                <w:rFonts w:hint="eastAsia"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30</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方钢楼梯栏杆扶手</w:t>
            </w:r>
          </w:p>
        </w:tc>
        <w:tc>
          <w:tcPr>
            <w:tcW w:w="1094" w:type="dxa"/>
            <w:noWrap w:val="0"/>
            <w:vAlign w:val="top"/>
          </w:tcPr>
          <w:p>
            <w:pPr>
              <w:jc w:val="center"/>
            </w:pPr>
            <w:r>
              <w:rPr>
                <w:rFonts w:hint="eastAsia"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31</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木楼梯栏杆扶手</w:t>
            </w:r>
          </w:p>
        </w:tc>
        <w:tc>
          <w:tcPr>
            <w:tcW w:w="1094" w:type="dxa"/>
            <w:noWrap w:val="0"/>
            <w:vAlign w:val="top"/>
          </w:tcPr>
          <w:p>
            <w:pPr>
              <w:jc w:val="center"/>
            </w:pPr>
            <w:r>
              <w:rPr>
                <w:rFonts w:hint="eastAsia"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32</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红木铁扶手</w:t>
            </w:r>
          </w:p>
        </w:tc>
        <w:tc>
          <w:tcPr>
            <w:tcW w:w="1094" w:type="dxa"/>
            <w:noWrap w:val="0"/>
            <w:vAlign w:val="top"/>
          </w:tcPr>
          <w:p>
            <w:pPr>
              <w:jc w:val="center"/>
            </w:pPr>
            <w:r>
              <w:rPr>
                <w:rFonts w:hint="eastAsia"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460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33</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釉面砖（300*300）</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34</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防潮砖（300*300）</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35</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防滑砖（300*300）</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36</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耐磨砖（300*300）</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37</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耐磨砖（500*500）</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38</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耐磨砖（600*600及以上）</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39</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抛光砖（400*400）</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77</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40</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抛光砖（600*600）</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92</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41</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抛光砖（800*800及以上）</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42</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长条砖、方砖</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43</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水刷石墙饰面</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44</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广场砖、碎花岗岩大理石拼贴</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45</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花岗岩、大理石</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160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46</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陶瓷马赛克</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47</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梯级砖</w:t>
            </w:r>
          </w:p>
        </w:tc>
        <w:tc>
          <w:tcPr>
            <w:tcW w:w="1094" w:type="dxa"/>
            <w:noWrap w:val="0"/>
            <w:vAlign w:val="top"/>
          </w:tcPr>
          <w:p>
            <w:pPr>
              <w:jc w:val="center"/>
            </w:pPr>
            <w:r>
              <w:rPr>
                <w:rFonts w:hint="eastAsia" w:ascii="仿宋" w:hAnsi="仿宋" w:eastAsia="仿宋"/>
                <w:sz w:val="28"/>
                <w:szCs w:val="28"/>
              </w:rPr>
              <w:t>步</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48</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木地板（国产）复合型</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49</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木地板（国产）实木型</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50</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防盗门（双面全封豪华不锈钢）</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51</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防盗门（单面全封豪华不锈钢）</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52</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防盗门（铁皮全封方钢）</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53</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一般铁门</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140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54</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实木大门（0.9米以内）</w:t>
            </w:r>
          </w:p>
        </w:tc>
        <w:tc>
          <w:tcPr>
            <w:tcW w:w="1094" w:type="dxa"/>
            <w:noWrap w:val="0"/>
            <w:vAlign w:val="top"/>
          </w:tcPr>
          <w:p>
            <w:pPr>
              <w:jc w:val="center"/>
            </w:pPr>
            <w:r>
              <w:rPr>
                <w:rFonts w:hint="eastAsia" w:ascii="仿宋" w:hAnsi="仿宋" w:eastAsia="仿宋"/>
                <w:sz w:val="28"/>
                <w:szCs w:val="28"/>
              </w:rPr>
              <w:t>樘</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55</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实木大门（子母门）</w:t>
            </w:r>
          </w:p>
        </w:tc>
        <w:tc>
          <w:tcPr>
            <w:tcW w:w="1094" w:type="dxa"/>
            <w:noWrap w:val="0"/>
            <w:vAlign w:val="top"/>
          </w:tcPr>
          <w:p>
            <w:pPr>
              <w:jc w:val="center"/>
            </w:pPr>
            <w:r>
              <w:rPr>
                <w:rFonts w:hint="eastAsia" w:ascii="仿宋" w:hAnsi="仿宋" w:eastAsia="仿宋"/>
                <w:sz w:val="28"/>
                <w:szCs w:val="28"/>
              </w:rPr>
              <w:t>樘</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1300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56</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原实木门</w:t>
            </w:r>
          </w:p>
        </w:tc>
        <w:tc>
          <w:tcPr>
            <w:tcW w:w="1094" w:type="dxa"/>
            <w:noWrap w:val="0"/>
            <w:vAlign w:val="top"/>
          </w:tcPr>
          <w:p>
            <w:pPr>
              <w:jc w:val="center"/>
            </w:pPr>
            <w:r>
              <w:rPr>
                <w:rFonts w:hint="eastAsia" w:ascii="仿宋" w:hAnsi="仿宋" w:eastAsia="仿宋"/>
                <w:sz w:val="28"/>
                <w:szCs w:val="28"/>
              </w:rPr>
              <w:t>樘</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1200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57</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原实木门（子母门）</w:t>
            </w:r>
          </w:p>
        </w:tc>
        <w:tc>
          <w:tcPr>
            <w:tcW w:w="1094" w:type="dxa"/>
            <w:noWrap w:val="0"/>
            <w:vAlign w:val="top"/>
          </w:tcPr>
          <w:p>
            <w:pPr>
              <w:jc w:val="center"/>
            </w:pPr>
            <w:r>
              <w:rPr>
                <w:rFonts w:hint="eastAsia" w:ascii="仿宋" w:hAnsi="仿宋" w:eastAsia="仿宋"/>
                <w:sz w:val="28"/>
                <w:szCs w:val="28"/>
              </w:rPr>
              <w:t>樘</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1450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58</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夹板木板（有面板）</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套</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460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59</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夹板木板（</w:t>
            </w:r>
            <w:r>
              <w:rPr>
                <w:rFonts w:hint="eastAsia" w:ascii="仿宋" w:hAnsi="仿宋" w:eastAsia="仿宋"/>
                <w:sz w:val="28"/>
                <w:szCs w:val="28"/>
                <w:highlight w:val="none"/>
              </w:rPr>
              <w:t>无面板</w:t>
            </w:r>
            <w:r>
              <w:rPr>
                <w:rFonts w:hint="eastAsia" w:ascii="仿宋" w:hAnsi="仿宋" w:eastAsia="仿宋"/>
                <w:sz w:val="28"/>
                <w:szCs w:val="28"/>
              </w:rPr>
              <w:t>）</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套</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60</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镀锌卷闸门</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镀锌管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61</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豪华拉闸门</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165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62</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铝合金卷闸门</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130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63</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塑钢推拉门</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130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64</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防盗对讲器</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户</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110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65</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铝合金们（推拉）</w:t>
            </w:r>
          </w:p>
        </w:tc>
        <w:tc>
          <w:tcPr>
            <w:tcW w:w="1094" w:type="dxa"/>
            <w:noWrap w:val="0"/>
            <w:vAlign w:val="top"/>
          </w:tcPr>
          <w:p>
            <w:pPr>
              <w:jc w:val="center"/>
              <w:rPr>
                <w:rFonts w:ascii="仿宋" w:hAnsi="仿宋" w:eastAsia="仿宋"/>
                <w:sz w:val="28"/>
                <w:szCs w:val="28"/>
              </w:rP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340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66</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lang w:val="en-US" w:eastAsia="zh-CN"/>
              </w:rPr>
            </w:pPr>
            <w:r>
              <w:rPr>
                <w:rFonts w:hint="eastAsia" w:ascii="仿宋" w:hAnsi="仿宋" w:eastAsia="仿宋"/>
                <w:sz w:val="28"/>
                <w:szCs w:val="28"/>
              </w:rPr>
              <w:t>卫生间</w:t>
            </w:r>
            <w:r>
              <w:rPr>
                <w:rFonts w:hint="eastAsia" w:ascii="仿宋" w:hAnsi="仿宋" w:eastAsia="仿宋"/>
                <w:sz w:val="28"/>
                <w:szCs w:val="28"/>
                <w:highlight w:val="none"/>
              </w:rPr>
              <w:t>铝合金</w:t>
            </w:r>
            <w:r>
              <w:rPr>
                <w:rFonts w:hint="eastAsia" w:ascii="仿宋" w:hAnsi="仿宋" w:eastAsia="仿宋"/>
                <w:sz w:val="28"/>
                <w:szCs w:val="28"/>
                <w:highlight w:val="none"/>
                <w:lang w:val="en-US" w:eastAsia="zh-CN"/>
              </w:rPr>
              <w:t>门</w:t>
            </w:r>
          </w:p>
        </w:tc>
        <w:tc>
          <w:tcPr>
            <w:tcW w:w="1094" w:type="dxa"/>
            <w:noWrap w:val="0"/>
            <w:vAlign w:val="top"/>
          </w:tcPr>
          <w:p>
            <w:pPr>
              <w:jc w:val="center"/>
            </w:pPr>
            <w:r>
              <w:rPr>
                <w:rFonts w:ascii="仿宋" w:hAnsi="仿宋" w:eastAsia="仿宋"/>
                <w:sz w:val="28"/>
                <w:szCs w:val="28"/>
              </w:rPr>
              <w:t>套</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320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67</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卫生间塑钢门</w:t>
            </w:r>
          </w:p>
        </w:tc>
        <w:tc>
          <w:tcPr>
            <w:tcW w:w="1094" w:type="dxa"/>
            <w:noWrap w:val="0"/>
            <w:vAlign w:val="top"/>
          </w:tcPr>
          <w:p>
            <w:pPr>
              <w:jc w:val="center"/>
            </w:pPr>
            <w:r>
              <w:rPr>
                <w:rFonts w:ascii="仿宋" w:hAnsi="仿宋" w:eastAsia="仿宋"/>
                <w:sz w:val="28"/>
                <w:szCs w:val="28"/>
              </w:rPr>
              <w:t>套</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68</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卫生间塑料门</w:t>
            </w:r>
          </w:p>
        </w:tc>
        <w:tc>
          <w:tcPr>
            <w:tcW w:w="1094" w:type="dxa"/>
            <w:noWrap w:val="0"/>
            <w:vAlign w:val="top"/>
          </w:tcPr>
          <w:p>
            <w:pPr>
              <w:jc w:val="center"/>
            </w:pPr>
            <w:r>
              <w:rPr>
                <w:rFonts w:ascii="仿宋" w:hAnsi="仿宋" w:eastAsia="仿宋"/>
                <w:sz w:val="28"/>
                <w:szCs w:val="28"/>
              </w:rPr>
              <w:t>套</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220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69</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门窗套</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45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70</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塑钢门窗</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165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71</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铝合金门窗</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72</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塑钢窗</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140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73</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铝合金窗纱</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74</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不锈钢防盗网（不加钢筋、镀锌管）φ19</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75</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不锈钢防盗网（加钢筋、镀锌管）φ19</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110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76</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方钢防盗网</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77</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铁防盗网</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78</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玻璃胶墙饰面</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79</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ICI墙饰面</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80</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多彩色墙面</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18</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81</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（浮搁式）石膏板天花</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82</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铝扣板天花（600*600）</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83</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铝扣板天花（300*300）</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84</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天花夹板装修（平面）</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85</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天花夹板装修（有造型、按建筑面积计）</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86</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塑料板天花</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87</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瓷块墙裙</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88</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木质墙裙</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75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89</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铁皮瓦隔热层（有隔热棉）含钢架</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90</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铁皮瓦隔热层（无隔热棉）含钢架</w:t>
            </w:r>
          </w:p>
        </w:tc>
        <w:tc>
          <w:tcPr>
            <w:tcW w:w="1094" w:type="dxa"/>
            <w:noWrap w:val="0"/>
            <w:vAlign w:val="top"/>
          </w:tcPr>
          <w:p>
            <w:pPr>
              <w:jc w:val="cente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58</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91</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石膏线条</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12</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92</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厨房壁柜</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290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93</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蹲厕（不含水箱、未安装不补偿）</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套</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94</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蹲厕（含水箱、未安装不补偿）</w:t>
            </w:r>
          </w:p>
        </w:tc>
        <w:tc>
          <w:tcPr>
            <w:tcW w:w="1094" w:type="dxa"/>
            <w:noWrap w:val="0"/>
            <w:vAlign w:val="top"/>
          </w:tcPr>
          <w:p>
            <w:pPr>
              <w:jc w:val="center"/>
            </w:pPr>
            <w:r>
              <w:rPr>
                <w:rFonts w:ascii="仿宋" w:hAnsi="仿宋" w:eastAsia="仿宋"/>
                <w:sz w:val="28"/>
                <w:szCs w:val="28"/>
              </w:rPr>
              <w:t>套</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95</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坐厕（含水箱、未安装不补偿）</w:t>
            </w:r>
          </w:p>
        </w:tc>
        <w:tc>
          <w:tcPr>
            <w:tcW w:w="1094" w:type="dxa"/>
            <w:noWrap w:val="0"/>
            <w:vAlign w:val="top"/>
          </w:tcPr>
          <w:p>
            <w:pPr>
              <w:jc w:val="center"/>
            </w:pPr>
            <w:r>
              <w:rPr>
                <w:rFonts w:ascii="仿宋" w:hAnsi="仿宋" w:eastAsia="仿宋"/>
                <w:sz w:val="28"/>
                <w:szCs w:val="28"/>
              </w:rPr>
              <w:t>套</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96</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陶瓷立柱型洗手盘</w:t>
            </w:r>
          </w:p>
        </w:tc>
        <w:tc>
          <w:tcPr>
            <w:tcW w:w="1094" w:type="dxa"/>
            <w:noWrap w:val="0"/>
            <w:vAlign w:val="top"/>
          </w:tcPr>
          <w:p>
            <w:pPr>
              <w:jc w:val="center"/>
            </w:pPr>
            <w:r>
              <w:rPr>
                <w:rFonts w:ascii="仿宋" w:hAnsi="仿宋" w:eastAsia="仿宋"/>
                <w:sz w:val="28"/>
                <w:szCs w:val="28"/>
              </w:rPr>
              <w:t>套</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97</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陶瓷</w:t>
            </w:r>
            <w:r>
              <w:rPr>
                <w:rFonts w:hint="eastAsia" w:ascii="仿宋" w:hAnsi="仿宋" w:eastAsia="仿宋"/>
                <w:sz w:val="28"/>
                <w:szCs w:val="28"/>
                <w:highlight w:val="none"/>
              </w:rPr>
              <w:t>台式</w:t>
            </w:r>
            <w:r>
              <w:rPr>
                <w:rFonts w:hint="eastAsia" w:ascii="仿宋" w:hAnsi="仿宋" w:eastAsia="仿宋"/>
                <w:sz w:val="28"/>
                <w:szCs w:val="28"/>
              </w:rPr>
              <w:t>洗手盘</w:t>
            </w:r>
          </w:p>
        </w:tc>
        <w:tc>
          <w:tcPr>
            <w:tcW w:w="1094" w:type="dxa"/>
            <w:noWrap w:val="0"/>
            <w:vAlign w:val="top"/>
          </w:tcPr>
          <w:p>
            <w:pPr>
              <w:jc w:val="center"/>
            </w:pPr>
            <w:r>
              <w:rPr>
                <w:rFonts w:ascii="仿宋" w:hAnsi="仿宋" w:eastAsia="仿宋"/>
                <w:sz w:val="28"/>
                <w:szCs w:val="28"/>
              </w:rPr>
              <w:t>套</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98</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不锈钢洗手盘</w:t>
            </w:r>
          </w:p>
        </w:tc>
        <w:tc>
          <w:tcPr>
            <w:tcW w:w="1094" w:type="dxa"/>
            <w:noWrap w:val="0"/>
            <w:vAlign w:val="top"/>
          </w:tcPr>
          <w:p>
            <w:pPr>
              <w:jc w:val="center"/>
            </w:pPr>
            <w:r>
              <w:rPr>
                <w:rFonts w:ascii="仿宋" w:hAnsi="仿宋" w:eastAsia="仿宋"/>
                <w:sz w:val="28"/>
                <w:szCs w:val="28"/>
              </w:rPr>
              <w:t>套</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99</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大理石洗手台（白色）</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台</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350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100</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浴缸（未安装不补偿）</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套</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101</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屏风式博古架</w:t>
            </w:r>
          </w:p>
        </w:tc>
        <w:tc>
          <w:tcPr>
            <w:tcW w:w="1094" w:type="dxa"/>
            <w:noWrap w:val="0"/>
            <w:vAlign w:val="top"/>
          </w:tcPr>
          <w:p>
            <w:pPr>
              <w:jc w:val="center"/>
              <w:rPr>
                <w:rFonts w:ascii="仿宋" w:hAnsi="仿宋" w:eastAsia="仿宋"/>
                <w:sz w:val="28"/>
                <w:szCs w:val="28"/>
              </w:rP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350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center"/>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102</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外楼梯（室内有楼梯外加、室内无楼梯不补偿）铁质</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条</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center"/>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103</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外楼梯（室内有楼梯外加、室内无楼梯不补偿）不锈钢</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条</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2000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center"/>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104</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外楼梯（室内有楼梯外加、室内无楼梯不补偿）混凝土</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层</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2800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105</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窗帘盒（榉木或9厘板）</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58</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106</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排气扇（8寸以内）</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台</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90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107</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排气扇（10寸以内）</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台</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110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108</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阳光瓦（含钢架）</w:t>
            </w:r>
          </w:p>
        </w:tc>
        <w:tc>
          <w:tcPr>
            <w:tcW w:w="1094" w:type="dxa"/>
            <w:noWrap w:val="0"/>
            <w:vAlign w:val="top"/>
          </w:tcPr>
          <w:p>
            <w:pPr>
              <w:jc w:val="center"/>
              <w:rPr>
                <w:rFonts w:ascii="仿宋" w:hAnsi="仿宋" w:eastAsia="仿宋"/>
                <w:sz w:val="28"/>
                <w:szCs w:val="28"/>
              </w:rP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109</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天面水池</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只</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650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110</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户外水池</w:t>
            </w:r>
          </w:p>
        </w:tc>
        <w:tc>
          <w:tcPr>
            <w:tcW w:w="1094" w:type="dxa"/>
            <w:noWrap w:val="0"/>
            <w:vAlign w:val="top"/>
          </w:tcPr>
          <w:p>
            <w:pPr>
              <w:jc w:val="center"/>
              <w:rPr>
                <w:rFonts w:ascii="仿宋" w:hAnsi="仿宋" w:eastAsia="仿宋"/>
                <w:sz w:val="28"/>
                <w:szCs w:val="28"/>
              </w:rP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111</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条柜（无面板）</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288</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112</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条柜（贴面板）</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米</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540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113</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砖木结构房水、电补助（含表）</w:t>
            </w:r>
          </w:p>
        </w:tc>
        <w:tc>
          <w:tcPr>
            <w:tcW w:w="1094" w:type="dxa"/>
            <w:noWrap w:val="0"/>
            <w:vAlign w:val="top"/>
          </w:tcPr>
          <w:p>
            <w:pPr>
              <w:jc w:val="center"/>
              <w:rPr>
                <w:rFonts w:ascii="仿宋" w:hAnsi="仿宋" w:eastAsia="仿宋"/>
                <w:sz w:val="28"/>
                <w:szCs w:val="28"/>
              </w:rP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各15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114</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砼结构房水、电补助（含表）</w:t>
            </w:r>
          </w:p>
        </w:tc>
        <w:tc>
          <w:tcPr>
            <w:tcW w:w="1094" w:type="dxa"/>
            <w:noWrap w:val="0"/>
            <w:vAlign w:val="top"/>
          </w:tcPr>
          <w:p>
            <w:pPr>
              <w:jc w:val="center"/>
              <w:rPr>
                <w:rFonts w:ascii="仿宋" w:hAnsi="仿宋" w:eastAsia="仿宋"/>
                <w:sz w:val="28"/>
                <w:szCs w:val="28"/>
              </w:rPr>
            </w:pPr>
            <w:r>
              <w:rPr>
                <w:rFonts w:hint="eastAsia" w:ascii="仿宋" w:hAnsi="仿宋" w:eastAsia="仿宋"/>
                <w:sz w:val="28"/>
                <w:szCs w:val="28"/>
              </w:rPr>
              <w:t>㎡</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各25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115</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rPr>
            </w:pPr>
            <w:r>
              <w:rPr>
                <w:rFonts w:hint="eastAsia" w:ascii="仿宋" w:hAnsi="仿宋" w:eastAsia="仿宋"/>
                <w:sz w:val="28"/>
                <w:szCs w:val="28"/>
              </w:rPr>
              <w:t>有线电视、电话移动补偿</w:t>
            </w:r>
          </w:p>
        </w:tc>
        <w:tc>
          <w:tcPr>
            <w:tcW w:w="1094" w:type="dxa"/>
            <w:noWrap w:val="0"/>
            <w:vAlign w:val="top"/>
          </w:tcPr>
          <w:p>
            <w:pPr>
              <w:jc w:val="center"/>
              <w:rPr>
                <w:rFonts w:ascii="仿宋" w:hAnsi="仿宋" w:eastAsia="仿宋"/>
                <w:sz w:val="28"/>
                <w:szCs w:val="28"/>
              </w:rPr>
            </w:pPr>
            <w:r>
              <w:rPr>
                <w:rFonts w:ascii="仿宋" w:hAnsi="仿宋" w:eastAsia="仿宋"/>
                <w:sz w:val="28"/>
                <w:szCs w:val="28"/>
              </w:rPr>
              <w:t>户</w:t>
            </w:r>
          </w:p>
        </w:tc>
        <w:tc>
          <w:tcPr>
            <w:tcW w:w="1725" w:type="dxa"/>
            <w:noWrap w:val="0"/>
            <w:vAlign w:val="top"/>
          </w:tcPr>
          <w:p>
            <w:pPr>
              <w:pStyle w:val="5"/>
              <w:spacing w:before="0" w:beforeAutospacing="0" w:after="0" w:afterAutospacing="0" w:line="600" w:lineRule="exact"/>
              <w:jc w:val="center"/>
              <w:rPr>
                <w:rFonts w:hint="eastAsia" w:ascii="仿宋" w:hAnsi="仿宋" w:eastAsia="仿宋"/>
                <w:sz w:val="28"/>
                <w:szCs w:val="28"/>
              </w:rPr>
            </w:pPr>
            <w:r>
              <w:rPr>
                <w:rFonts w:hint="eastAsia" w:ascii="仿宋" w:hAnsi="仿宋" w:eastAsia="仿宋"/>
                <w:sz w:val="28"/>
                <w:szCs w:val="28"/>
              </w:rPr>
              <w:t>200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116</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电视卫星接收器（小）</w:t>
            </w:r>
          </w:p>
        </w:tc>
        <w:tc>
          <w:tcPr>
            <w:tcW w:w="1094" w:type="dxa"/>
            <w:noWrap w:val="0"/>
            <w:vAlign w:val="top"/>
          </w:tcPr>
          <w:p>
            <w:pPr>
              <w:jc w:val="center"/>
              <w:rPr>
                <w:rFonts w:hint="eastAsia"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200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117</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电视卫星接收器（大）</w:t>
            </w:r>
          </w:p>
        </w:tc>
        <w:tc>
          <w:tcPr>
            <w:tcW w:w="1094" w:type="dxa"/>
            <w:noWrap w:val="0"/>
            <w:vAlign w:val="top"/>
          </w:tcPr>
          <w:p>
            <w:pPr>
              <w:jc w:val="center"/>
              <w:rPr>
                <w:rFonts w:hint="eastAsia"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400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118</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lang w:val="en-US" w:eastAsia="zh-CN"/>
              </w:rPr>
            </w:pPr>
            <w:r>
              <w:rPr>
                <w:rFonts w:hint="eastAsia" w:ascii="仿宋" w:hAnsi="仿宋" w:eastAsia="仿宋"/>
                <w:sz w:val="28"/>
                <w:szCs w:val="28"/>
                <w:lang w:val="en-US" w:eastAsia="zh-CN"/>
              </w:rPr>
              <w:t>排水沟（三面）</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58</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119</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lang w:val="en-US" w:eastAsia="zh-CN"/>
              </w:rPr>
            </w:pPr>
            <w:r>
              <w:rPr>
                <w:rFonts w:hint="eastAsia" w:ascii="仿宋" w:hAnsi="仿宋" w:eastAsia="仿宋"/>
                <w:sz w:val="28"/>
                <w:szCs w:val="28"/>
                <w:lang w:val="en-US" w:eastAsia="zh-CN"/>
              </w:rPr>
              <w:t>硅藻泥</w:t>
            </w:r>
          </w:p>
        </w:tc>
        <w:tc>
          <w:tcPr>
            <w:tcW w:w="1094" w:type="dxa"/>
            <w:noWrap w:val="0"/>
            <w:vAlign w:val="top"/>
          </w:tcPr>
          <w:p>
            <w:pPr>
              <w:jc w:val="center"/>
              <w:rPr>
                <w:rFonts w:hint="eastAsia"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50-80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120</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铁丝网（粗）</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12</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121</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铁丝网（细）</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7</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122</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水泥电线杆</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条</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300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123</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户外电线（1.5㎡）</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2.5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124</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户外电线（2.5㎡）</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4.5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125</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户外电线（3㎡）</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6</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126</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太阳能热水器搬迁</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500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127</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空调搬迁</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台</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300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128</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琉璃瓦</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40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129</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太阳能路灯搬迁</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条</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500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130</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陶瓷地脚线</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131</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水泥地板</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70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132</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铁架广告牌</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350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133</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LED铝合金广告牌</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750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134</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PRR供水管（11</w:t>
            </w:r>
            <w:r>
              <w:rPr>
                <w:rFonts w:hint="eastAsia" w:ascii="仿宋" w:hAnsi="仿宋" w:eastAsia="仿宋"/>
                <w:sz w:val="28"/>
                <w:szCs w:val="28"/>
                <w:highlight w:val="none"/>
                <w:lang w:val="en-US" w:eastAsia="zh-CN"/>
              </w:rPr>
              <w:t>公分</w:t>
            </w:r>
            <w:r>
              <w:rPr>
                <w:rFonts w:hint="eastAsia" w:ascii="仿宋" w:hAnsi="仿宋" w:eastAsia="仿宋"/>
                <w:sz w:val="28"/>
                <w:szCs w:val="28"/>
                <w:lang w:val="en-US" w:eastAsia="zh-CN"/>
              </w:rPr>
              <w:t>）</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18</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135</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铁艺栏杆（围墙）</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350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136</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防盗系统（家庭）</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480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137</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防盗系统（公司）</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680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138</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固定衣柜（复合板）</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65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139</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固定衣柜（实木）</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130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140</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豪华铜艺大门</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2580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141</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塑胶地板</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17</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142</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隐形防盗网</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85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143</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铜线（25㎡）</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22</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144</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铜线（50㎡）</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43</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145</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晒坪（含地价）</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195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146</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鹅卵石地板</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147</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固定酒柜</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70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148</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固定酒鬼（实木）</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140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149</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PVC排水管（Φ16cm）</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150</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lang w:val="en-US" w:eastAsia="zh-CN"/>
              </w:rPr>
            </w:pPr>
            <w:r>
              <w:rPr>
                <w:rFonts w:hint="eastAsia" w:ascii="仿宋" w:hAnsi="仿宋" w:eastAsia="仿宋"/>
                <w:sz w:val="28"/>
                <w:szCs w:val="28"/>
                <w:lang w:val="en-US" w:eastAsia="zh-CN"/>
              </w:rPr>
              <w:t>PVC排水管（Φ20cm）</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65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151</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PPR供水管（4分）</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9</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152</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PPR供水管（6分）</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11</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153</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PPR供水管（1寸）</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13</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154</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混凝土地板（道路）15</w:t>
            </w:r>
            <w:r>
              <w:rPr>
                <w:rFonts w:hint="eastAsia" w:ascii="仿宋" w:hAnsi="仿宋" w:eastAsia="仿宋"/>
                <w:sz w:val="28"/>
                <w:szCs w:val="28"/>
                <w:highlight w:val="none"/>
                <w:lang w:val="en-US" w:eastAsia="zh-CN"/>
              </w:rPr>
              <w:t>公分</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160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155</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混凝土地板（道路）20</w:t>
            </w:r>
            <w:r>
              <w:rPr>
                <w:rFonts w:hint="eastAsia" w:ascii="仿宋" w:hAnsi="仿宋" w:eastAsia="仿宋"/>
                <w:sz w:val="28"/>
                <w:szCs w:val="28"/>
                <w:highlight w:val="none"/>
                <w:lang w:val="en-US" w:eastAsia="zh-CN"/>
              </w:rPr>
              <w:t>公分</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200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156</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钢结构建筑物（厂房）</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1100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157</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地磅（160吨）</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65000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158</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地磅（250吨）</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85000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159</w:t>
            </w:r>
          </w:p>
        </w:tc>
        <w:tc>
          <w:tcPr>
            <w:tcW w:w="4864" w:type="dxa"/>
            <w:noWrap w:val="0"/>
            <w:vAlign w:val="top"/>
          </w:tcPr>
          <w:p>
            <w:pPr>
              <w:pStyle w:val="5"/>
              <w:spacing w:before="0" w:beforeAutospacing="0" w:after="0" w:afterAutospacing="0" w:line="600" w:lineRule="exact"/>
              <w:rPr>
                <w:rFonts w:hint="default" w:ascii="仿宋" w:hAnsi="仿宋" w:eastAsia="仿宋" w:cs="仿宋"/>
                <w:sz w:val="28"/>
                <w:szCs w:val="28"/>
                <w:lang w:val="en-US" w:eastAsia="zh-CN"/>
              </w:rPr>
            </w:pPr>
            <w:r>
              <w:rPr>
                <w:rFonts w:hint="eastAsia" w:ascii="仿宋" w:hAnsi="仿宋" w:eastAsia="仿宋"/>
                <w:sz w:val="28"/>
                <w:szCs w:val="28"/>
                <w:lang w:val="en-US" w:eastAsia="zh-CN"/>
              </w:rPr>
              <w:t>烘干房6</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4米</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个</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5-8万</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160</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外墙漆</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40-60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161</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罗马柱圆</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400-600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162</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罗马护栏</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450-550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163</w:t>
            </w:r>
          </w:p>
        </w:tc>
        <w:tc>
          <w:tcPr>
            <w:tcW w:w="4864" w:type="dxa"/>
            <w:noWrap w:val="0"/>
            <w:vAlign w:val="top"/>
          </w:tcPr>
          <w:p>
            <w:pPr>
              <w:pStyle w:val="5"/>
              <w:spacing w:before="0" w:beforeAutospacing="0" w:after="0" w:afterAutospacing="0" w:line="600" w:lineRule="exact"/>
              <w:rPr>
                <w:rFonts w:hint="default" w:ascii="仿宋" w:hAnsi="仿宋" w:eastAsia="仿宋" w:cs="仿宋"/>
                <w:sz w:val="28"/>
                <w:szCs w:val="28"/>
                <w:lang w:val="en-US" w:eastAsia="zh-CN"/>
              </w:rPr>
            </w:pPr>
            <w:r>
              <w:rPr>
                <w:rFonts w:hint="eastAsia" w:ascii="仿宋" w:hAnsi="仿宋" w:eastAsia="仿宋"/>
                <w:sz w:val="28"/>
                <w:szCs w:val="28"/>
                <w:lang w:val="en-US" w:eastAsia="zh-CN"/>
              </w:rPr>
              <w:t>罗马护栏墩0.8</w:t>
            </w:r>
            <w:r>
              <w:rPr>
                <w:rFonts w:hint="default" w:ascii="Arial" w:hAnsi="Arial" w:eastAsia="仿宋" w:cs="Arial"/>
                <w:sz w:val="28"/>
                <w:szCs w:val="28"/>
                <w:lang w:val="en-US" w:eastAsia="zh-CN"/>
              </w:rPr>
              <w:t>×</w:t>
            </w:r>
            <w:r>
              <w:rPr>
                <w:rFonts w:hint="eastAsia" w:ascii="仿宋" w:hAnsi="仿宋" w:eastAsia="仿宋" w:cs="仿宋"/>
                <w:sz w:val="28"/>
                <w:szCs w:val="28"/>
                <w:lang w:val="en-US" w:eastAsia="zh-CN"/>
              </w:rPr>
              <w:t>0.8高1.5米</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450-550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164</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铁艺大门（自动）</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550-650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165</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铁艺大门（自动）</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3800-4500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166</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不锈钢伸缩大门（自动）</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1250-1350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167</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不锈钢伸缩大门（自动）</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3800-4500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168</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孔桩</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700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169</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罗马窗套</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170</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有筋水泥涵管（Φ30cm）</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米</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70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171</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有筋水泥涵管（Φ60cm）</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米</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134</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172</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lang w:val="en-US" w:eastAsia="zh-CN"/>
              </w:rPr>
            </w:pPr>
            <w:r>
              <w:rPr>
                <w:rFonts w:hint="eastAsia" w:ascii="仿宋" w:hAnsi="仿宋" w:eastAsia="仿宋"/>
                <w:sz w:val="28"/>
                <w:szCs w:val="28"/>
                <w:lang w:val="en-US" w:eastAsia="zh-CN"/>
              </w:rPr>
              <w:t>有筋水泥涵管（Φ80cm）</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米</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234</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tabs>
                <w:tab w:val="left" w:pos="467"/>
              </w:tabs>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173</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lang w:val="en-US" w:eastAsia="zh-CN"/>
              </w:rPr>
            </w:pPr>
            <w:r>
              <w:rPr>
                <w:rFonts w:hint="eastAsia" w:ascii="仿宋" w:hAnsi="仿宋" w:eastAsia="仿宋"/>
                <w:sz w:val="28"/>
                <w:szCs w:val="28"/>
                <w:lang w:val="en-US" w:eastAsia="zh-CN"/>
              </w:rPr>
              <w:t>有筋水泥涵管（Φ10</w:t>
            </w:r>
            <w:r>
              <w:rPr>
                <w:rFonts w:hint="eastAsia" w:ascii="仿宋" w:hAnsi="仿宋" w:eastAsia="仿宋" w:cs="仿宋"/>
                <w:sz w:val="28"/>
                <w:szCs w:val="28"/>
                <w:lang w:val="en-US" w:eastAsia="zh-CN"/>
              </w:rPr>
              <w:t>0</w:t>
            </w:r>
            <w:r>
              <w:rPr>
                <w:rFonts w:hint="eastAsia" w:ascii="仿宋" w:hAnsi="仿宋" w:eastAsia="仿宋"/>
                <w:sz w:val="28"/>
                <w:szCs w:val="28"/>
                <w:lang w:val="en-US" w:eastAsia="zh-CN"/>
              </w:rPr>
              <w:t>cm）</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米</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highlight w:val="none"/>
                <w:lang w:val="en-US" w:eastAsia="zh-CN"/>
              </w:rPr>
              <w:t>314</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174</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石膏水泥罗马柱（Φ25cm）</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米</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550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175</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不锈钢玻璃</w:t>
            </w:r>
            <w:r>
              <w:rPr>
                <w:rFonts w:hint="eastAsia" w:ascii="仿宋" w:hAnsi="仿宋" w:eastAsia="仿宋"/>
                <w:sz w:val="28"/>
                <w:szCs w:val="28"/>
                <w:highlight w:val="none"/>
                <w:lang w:val="en-US" w:eastAsia="zh-CN"/>
              </w:rPr>
              <w:t>栏河</w:t>
            </w:r>
            <w:r>
              <w:rPr>
                <w:rFonts w:hint="eastAsia" w:ascii="仿宋" w:hAnsi="仿宋" w:eastAsia="仿宋"/>
                <w:sz w:val="28"/>
                <w:szCs w:val="28"/>
                <w:lang w:val="en-US" w:eastAsia="zh-CN"/>
              </w:rPr>
              <w:t>（高100cm）</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380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176</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罗马</w:t>
            </w:r>
            <w:r>
              <w:rPr>
                <w:rFonts w:hint="eastAsia" w:ascii="仿宋" w:hAnsi="仿宋" w:eastAsia="仿宋"/>
                <w:sz w:val="28"/>
                <w:szCs w:val="28"/>
                <w:highlight w:val="none"/>
                <w:lang w:val="en-US" w:eastAsia="zh-CN"/>
              </w:rPr>
              <w:t>栏河</w:t>
            </w:r>
            <w:r>
              <w:rPr>
                <w:rFonts w:hint="eastAsia" w:ascii="仿宋" w:hAnsi="仿宋" w:eastAsia="仿宋"/>
                <w:sz w:val="28"/>
                <w:szCs w:val="28"/>
                <w:lang w:val="en-US" w:eastAsia="zh-CN"/>
              </w:rPr>
              <w:t>（高100cm）</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450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177</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BLV铝芯电线（25平方）</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米</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178</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lang w:val="en-US" w:eastAsia="zh-CN"/>
              </w:rPr>
            </w:pPr>
            <w:r>
              <w:rPr>
                <w:rFonts w:hint="eastAsia" w:ascii="仿宋" w:hAnsi="仿宋" w:eastAsia="仿宋"/>
                <w:sz w:val="28"/>
                <w:szCs w:val="28"/>
                <w:lang w:val="en-US" w:eastAsia="zh-CN"/>
              </w:rPr>
              <w:t>BLV铝芯电线（50平方）</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米</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16</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179</w:t>
            </w:r>
          </w:p>
        </w:tc>
        <w:tc>
          <w:tcPr>
            <w:tcW w:w="4864" w:type="dxa"/>
            <w:noWrap w:val="0"/>
            <w:vAlign w:val="top"/>
          </w:tcPr>
          <w:p>
            <w:pPr>
              <w:pStyle w:val="5"/>
              <w:spacing w:before="0" w:beforeAutospacing="0" w:after="0" w:afterAutospacing="0" w:line="600" w:lineRule="exact"/>
              <w:rPr>
                <w:rFonts w:hint="eastAsia" w:ascii="仿宋" w:hAnsi="仿宋" w:eastAsia="仿宋"/>
                <w:sz w:val="28"/>
                <w:szCs w:val="28"/>
                <w:lang w:val="en-US" w:eastAsia="zh-CN"/>
              </w:rPr>
            </w:pPr>
            <w:r>
              <w:rPr>
                <w:rFonts w:hint="eastAsia" w:ascii="仿宋" w:hAnsi="仿宋" w:eastAsia="仿宋"/>
                <w:sz w:val="28"/>
                <w:szCs w:val="28"/>
                <w:lang w:val="en-US" w:eastAsia="zh-CN"/>
              </w:rPr>
              <w:t>BLV铝芯电线（95平方）</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米</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27</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180</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母猪搬迁</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头</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500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181</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肉猪搬迁</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头</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182</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猪栏门</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183</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产床</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2000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184</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定位栏</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500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185</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塑钢门</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430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186</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玻璃推拉门</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450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187</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不锈钢水箱搬迁</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500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188</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大理石梯级</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180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189</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视频监控系统（家庭）</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4500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190</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视频监控系统（公司）</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6500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191</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地磅（300吨）</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套</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9500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192</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沙搬迁</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m³</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20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193</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瓷土搬迁</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m³</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25</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194</w:t>
            </w:r>
          </w:p>
        </w:tc>
        <w:tc>
          <w:tcPr>
            <w:tcW w:w="4864" w:type="dxa"/>
            <w:noWrap w:val="0"/>
            <w:vAlign w:val="top"/>
          </w:tcPr>
          <w:p>
            <w:pPr>
              <w:pStyle w:val="5"/>
              <w:spacing w:before="0" w:beforeAutospacing="0" w:after="0" w:afterAutospacing="0" w:line="600" w:lineRule="exact"/>
              <w:rPr>
                <w:rFonts w:hint="default" w:ascii="仿宋" w:hAnsi="仿宋" w:eastAsia="仿宋"/>
                <w:sz w:val="28"/>
                <w:szCs w:val="28"/>
                <w:lang w:val="en-US" w:eastAsia="zh-CN"/>
              </w:rPr>
            </w:pPr>
            <w:r>
              <w:rPr>
                <w:rFonts w:hint="eastAsia" w:ascii="仿宋" w:hAnsi="仿宋" w:eastAsia="仿宋"/>
                <w:sz w:val="28"/>
                <w:szCs w:val="28"/>
                <w:lang w:val="en-US" w:eastAsia="zh-CN"/>
              </w:rPr>
              <w:t>集装箱搬迁</w:t>
            </w:r>
          </w:p>
        </w:tc>
        <w:tc>
          <w:tcPr>
            <w:tcW w:w="1094" w:type="dxa"/>
            <w:noWrap w:val="0"/>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只</w:t>
            </w:r>
          </w:p>
        </w:tc>
        <w:tc>
          <w:tcPr>
            <w:tcW w:w="1725" w:type="dxa"/>
            <w:noWrap w:val="0"/>
            <w:vAlign w:val="top"/>
          </w:tcPr>
          <w:p>
            <w:pPr>
              <w:pStyle w:val="5"/>
              <w:spacing w:before="0" w:beforeAutospacing="0" w:after="0" w:afterAutospacing="0" w:line="60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1000</w:t>
            </w:r>
          </w:p>
        </w:tc>
        <w:tc>
          <w:tcPr>
            <w:tcW w:w="975" w:type="dxa"/>
            <w:noWrap w:val="0"/>
            <w:vAlign w:val="top"/>
          </w:tcPr>
          <w:p>
            <w:pPr>
              <w:pStyle w:val="5"/>
              <w:spacing w:before="0" w:beforeAutospacing="0" w:after="0" w:afterAutospacing="0" w:line="600" w:lineRule="exact"/>
              <w:jc w:val="center"/>
              <w:rPr>
                <w:rFonts w:hint="eastAsia" w:ascii="仿宋" w:hAnsi="仿宋" w:eastAsia="仿宋"/>
                <w:sz w:val="28"/>
                <w:szCs w:val="28"/>
              </w:rPr>
            </w:pPr>
          </w:p>
        </w:tc>
      </w:tr>
    </w:tbl>
    <w:p>
      <w:pPr>
        <w:keepNext w:val="0"/>
        <w:keepLines w:val="0"/>
        <w:pageBreakBefore w:val="0"/>
        <w:widowControl w:val="0"/>
        <w:numPr>
          <w:ilvl w:val="0"/>
          <w:numId w:val="0"/>
        </w:numPr>
        <w:kinsoku/>
        <w:wordWrap/>
        <w:overflowPunct/>
        <w:topLinePunct w:val="0"/>
        <w:autoSpaceDE/>
        <w:autoSpaceDN/>
        <w:bidi w:val="0"/>
        <w:adjustRightInd/>
        <w:snapToGrid/>
        <w:ind w:leftChars="200"/>
        <w:jc w:val="left"/>
        <w:textAlignment w:val="auto"/>
        <w:rPr>
          <w:rFonts w:hint="eastAsia" w:ascii="黑体" w:hAnsi="黑体" w:eastAsia="黑体"/>
          <w:sz w:val="32"/>
          <w:szCs w:val="32"/>
        </w:rPr>
      </w:pPr>
      <w:r>
        <w:rPr>
          <w:rFonts w:hint="eastAsia" w:ascii="仿宋" w:hAnsi="仿宋" w:eastAsia="仿宋"/>
          <w:sz w:val="28"/>
          <w:szCs w:val="28"/>
        </w:rPr>
        <w:t>注：此</w:t>
      </w:r>
      <w:r>
        <w:rPr>
          <w:rFonts w:hint="eastAsia" w:ascii="仿宋" w:hAnsi="仿宋" w:eastAsia="仿宋"/>
          <w:sz w:val="28"/>
          <w:szCs w:val="28"/>
          <w:highlight w:val="none"/>
        </w:rPr>
        <w:t>表未</w:t>
      </w:r>
      <w:r>
        <w:rPr>
          <w:rFonts w:hint="eastAsia" w:ascii="仿宋" w:hAnsi="仿宋" w:eastAsia="仿宋"/>
          <w:sz w:val="28"/>
          <w:szCs w:val="28"/>
        </w:rPr>
        <w:t>列项目的补偿价格，按照《国有土地上房屋征收评估办法》等有关规定进行估算。</w:t>
      </w:r>
    </w:p>
    <w:p>
      <w:pPr>
        <w:keepNext w:val="0"/>
        <w:keepLines w:val="0"/>
        <w:pageBreakBefore w:val="0"/>
        <w:widowControl w:val="0"/>
        <w:numPr>
          <w:ilvl w:val="0"/>
          <w:numId w:val="0"/>
        </w:numPr>
        <w:kinsoku/>
        <w:wordWrap/>
        <w:overflowPunct/>
        <w:topLinePunct w:val="0"/>
        <w:autoSpaceDE/>
        <w:autoSpaceDN/>
        <w:bidi w:val="0"/>
        <w:adjustRightInd/>
        <w:snapToGrid/>
        <w:ind w:leftChars="200"/>
        <w:jc w:val="left"/>
        <w:textAlignment w:val="auto"/>
        <w:outlineLvl w:val="0"/>
        <w:rPr>
          <w:rFonts w:hint="eastAsia" w:ascii="黑体" w:hAnsi="黑体" w:eastAsia="黑体" w:cs="黑体"/>
          <w:sz w:val="32"/>
          <w:szCs w:val="32"/>
          <w:lang w:val="en-US" w:eastAsia="zh-CN"/>
        </w:rPr>
      </w:pPr>
      <w:bookmarkStart w:id="36" w:name="_Toc14407"/>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五</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产权置换、安置房屋（不含低价）价值评估标准</w:t>
      </w:r>
      <w:bookmarkEnd w:id="36"/>
    </w:p>
    <w:tbl>
      <w:tblPr>
        <w:tblStyle w:val="7"/>
        <w:tblW w:w="9735" w:type="dxa"/>
        <w:tblInd w:w="-5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5"/>
        <w:gridCol w:w="1950"/>
        <w:gridCol w:w="2340"/>
        <w:gridCol w:w="3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85" w:type="dxa"/>
          </w:tcPr>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名称</w:t>
            </w:r>
          </w:p>
        </w:tc>
        <w:tc>
          <w:tcPr>
            <w:tcW w:w="1950" w:type="dxa"/>
          </w:tcPr>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单位</w:t>
            </w:r>
          </w:p>
        </w:tc>
        <w:tc>
          <w:tcPr>
            <w:tcW w:w="2340" w:type="dxa"/>
          </w:tcPr>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单价（元）</w:t>
            </w:r>
          </w:p>
        </w:tc>
        <w:tc>
          <w:tcPr>
            <w:tcW w:w="3360" w:type="dxa"/>
          </w:tcPr>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5" w:type="dxa"/>
          </w:tcPr>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成本估值</w:t>
            </w:r>
          </w:p>
        </w:tc>
        <w:tc>
          <w:tcPr>
            <w:tcW w:w="1950" w:type="dxa"/>
          </w:tcPr>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w:t>
            </w:r>
          </w:p>
        </w:tc>
        <w:tc>
          <w:tcPr>
            <w:tcW w:w="2340" w:type="dxa"/>
          </w:tcPr>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2450</w:t>
            </w:r>
          </w:p>
        </w:tc>
        <w:tc>
          <w:tcPr>
            <w:tcW w:w="3360" w:type="dxa"/>
          </w:tcPr>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按建筑面积计算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5" w:type="dxa"/>
          </w:tcPr>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市场估值</w:t>
            </w:r>
          </w:p>
        </w:tc>
        <w:tc>
          <w:tcPr>
            <w:tcW w:w="1950" w:type="dxa"/>
          </w:tcPr>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w:t>
            </w:r>
          </w:p>
        </w:tc>
        <w:tc>
          <w:tcPr>
            <w:tcW w:w="2340" w:type="dxa"/>
          </w:tcPr>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3130</w:t>
            </w:r>
          </w:p>
        </w:tc>
        <w:tc>
          <w:tcPr>
            <w:tcW w:w="3360" w:type="dxa"/>
          </w:tcPr>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仿宋" w:hAnsi="仿宋" w:eastAsia="仿宋"/>
                <w:sz w:val="28"/>
                <w:szCs w:val="28"/>
                <w:vertAlign w:val="baseline"/>
                <w:lang w:val="en-US" w:eastAsia="zh-CN"/>
              </w:rPr>
            </w:pPr>
            <w:r>
              <w:rPr>
                <w:rFonts w:hint="eastAsia" w:ascii="仿宋" w:hAnsi="仿宋" w:eastAsia="仿宋"/>
                <w:sz w:val="28"/>
                <w:szCs w:val="28"/>
                <w:vertAlign w:val="baseline"/>
                <w:lang w:val="en-US" w:eastAsia="zh-CN"/>
              </w:rPr>
              <w:t>按建筑面积计算</w:t>
            </w:r>
          </w:p>
        </w:tc>
      </w:tr>
    </w:tbl>
    <w:p>
      <w:pPr>
        <w:keepNext w:val="0"/>
        <w:keepLines w:val="0"/>
        <w:pageBreakBefore w:val="0"/>
        <w:widowControl w:val="0"/>
        <w:numPr>
          <w:ilvl w:val="0"/>
          <w:numId w:val="0"/>
        </w:numPr>
        <w:kinsoku/>
        <w:wordWrap/>
        <w:overflowPunct/>
        <w:topLinePunct w:val="0"/>
        <w:autoSpaceDE/>
        <w:autoSpaceDN/>
        <w:bidi w:val="0"/>
        <w:adjustRightInd/>
        <w:snapToGrid/>
        <w:ind w:leftChars="200"/>
        <w:jc w:val="left"/>
        <w:textAlignment w:val="auto"/>
        <w:rPr>
          <w:rFonts w:hint="default" w:ascii="仿宋" w:hAnsi="仿宋" w:eastAsia="仿宋"/>
          <w:sz w:val="28"/>
          <w:szCs w:val="28"/>
          <w:lang w:val="en-US" w:eastAsia="zh-CN"/>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楷体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1B930F"/>
    <w:multiLevelType w:val="singleLevel"/>
    <w:tmpl w:val="A41B930F"/>
    <w:lvl w:ilvl="0" w:tentative="0">
      <w:start w:val="1"/>
      <w:numFmt w:val="chineseCounting"/>
      <w:suff w:val="nothing"/>
      <w:lvlText w:val="%1、"/>
      <w:lvlJc w:val="left"/>
      <w:rPr>
        <w:rFonts w:hint="eastAsia"/>
      </w:rPr>
    </w:lvl>
  </w:abstractNum>
  <w:abstractNum w:abstractNumId="1">
    <w:nsid w:val="4DFBFB7C"/>
    <w:multiLevelType w:val="singleLevel"/>
    <w:tmpl w:val="4DFBFB7C"/>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341FD3"/>
    <w:rsid w:val="003C11A8"/>
    <w:rsid w:val="0BD70669"/>
    <w:rsid w:val="117876F2"/>
    <w:rsid w:val="12672002"/>
    <w:rsid w:val="127D50AD"/>
    <w:rsid w:val="14942C94"/>
    <w:rsid w:val="18E92249"/>
    <w:rsid w:val="256A2DF7"/>
    <w:rsid w:val="385A7D97"/>
    <w:rsid w:val="3A3B7B47"/>
    <w:rsid w:val="3AAF44FD"/>
    <w:rsid w:val="3E2F16BA"/>
    <w:rsid w:val="40341FD3"/>
    <w:rsid w:val="407B546F"/>
    <w:rsid w:val="447A3526"/>
    <w:rsid w:val="492E63DF"/>
    <w:rsid w:val="4C4C305B"/>
    <w:rsid w:val="52700FE0"/>
    <w:rsid w:val="55777B9A"/>
    <w:rsid w:val="568A7637"/>
    <w:rsid w:val="576654E0"/>
    <w:rsid w:val="5A747024"/>
    <w:rsid w:val="5E2054CC"/>
    <w:rsid w:val="627D17A6"/>
    <w:rsid w:val="63E84470"/>
    <w:rsid w:val="648D2E4E"/>
    <w:rsid w:val="67B04927"/>
    <w:rsid w:val="6C1E7488"/>
    <w:rsid w:val="6D2F09A9"/>
    <w:rsid w:val="728E7F3B"/>
    <w:rsid w:val="743B5B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next w:val="1"/>
    <w:qFormat/>
    <w:uiPriority w:val="0"/>
  </w:style>
  <w:style w:type="paragraph" w:styleId="5">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unhideWhenUsed/>
    <w:qFormat/>
    <w:uiPriority w:val="99"/>
    <w:rPr>
      <w:rFonts w:ascii="Times New Roman" w:hAnsi="Times New Roman" w:eastAsia="宋体" w:cs="Times New Roman"/>
      <w:color w:val="0000FF"/>
      <w:u w:val="single"/>
    </w:rPr>
  </w:style>
  <w:style w:type="paragraph" w:customStyle="1" w:styleId="10">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2021-01-31T14:00:00Z</dcterms:created>
  <dc:creator>李大明</dc:creator>
  <cp:lastModifiedBy>李大明</cp:lastModifiedBy>
  <cp:lastPrinted>2021-03-03T06:47:00Z</cp:lastPrinted>
  <dcterms:modified xsi:type="dcterms:W3CDTF">2021-03-15T02:31:47Z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